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53BE" w14:textId="4C16CA03" w:rsidR="0090264C" w:rsidRDefault="002E39A5">
      <w:pPr>
        <w:rPr>
          <w:b/>
          <w:sz w:val="32"/>
          <w:szCs w:val="32"/>
        </w:rPr>
      </w:pPr>
      <w:r w:rsidRPr="002E39A5">
        <w:rPr>
          <w:b/>
          <w:sz w:val="32"/>
          <w:szCs w:val="32"/>
        </w:rPr>
        <w:t>Ποιοτικός εκσυγχρονισμός</w:t>
      </w:r>
      <w:r>
        <w:rPr>
          <w:b/>
          <w:sz w:val="32"/>
          <w:szCs w:val="32"/>
        </w:rPr>
        <w:t>:</w:t>
      </w:r>
    </w:p>
    <w:p w14:paraId="6800854F" w14:textId="77777777" w:rsidR="002E39A5" w:rsidRPr="002E39A5" w:rsidRDefault="002E39A5" w:rsidP="002E39A5">
      <w:pPr>
        <w:shd w:val="clear" w:color="auto" w:fill="FFFFFF"/>
        <w:spacing w:after="150"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Βελτίωση της ανταγωνιστικότητας των μεσαίων επιχειρήσεων, επενδύοντας στον παραγωγικό εκσυγχρονισμό τους και την υιοθέτηση συστημάτων τυποποίησης και πιστοποίησης. Στο πλαίσιο αυτό αναμένεται να ενισχυθούν δαπάνες για:</w:t>
      </w:r>
    </w:p>
    <w:p w14:paraId="77070641" w14:textId="77777777" w:rsidR="002E39A5" w:rsidRPr="002E39A5" w:rsidRDefault="002E39A5" w:rsidP="002E39A5">
      <w:pPr>
        <w:numPr>
          <w:ilvl w:val="0"/>
          <w:numId w:val="1"/>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την απόκτηση νέων σύγχρονων μηχανημάτων και εν γένει εξοπλισμού, απαραίτητου για τη λειτουργία της επιχείρησης και την άσκηση της οικονομικής δραστηριότητάς της</w:t>
      </w:r>
    </w:p>
    <w:p w14:paraId="6387F4A8" w14:textId="77777777" w:rsidR="002E39A5" w:rsidRPr="002E39A5" w:rsidRDefault="002E39A5" w:rsidP="002E39A5">
      <w:pPr>
        <w:numPr>
          <w:ilvl w:val="0"/>
          <w:numId w:val="1"/>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την εισαγωγή συστημάτων πιστοποίησης - διαχείρισης ποιότητας, τον σχεδιασμό, την τυποποίηση και πιστοποίηση προϊόντων.</w:t>
      </w:r>
      <w:r w:rsidRPr="002E39A5">
        <w:rPr>
          <w:rFonts w:ascii="Tahoma" w:eastAsia="Times New Roman" w:hAnsi="Tahoma" w:cs="Tahoma"/>
          <w:color w:val="3E454C"/>
          <w:lang w:eastAsia="el-GR"/>
        </w:rPr>
        <w:br/>
      </w:r>
    </w:p>
    <w:p w14:paraId="71C1B369" w14:textId="77777777" w:rsidR="002E39A5" w:rsidRPr="002E39A5" w:rsidRDefault="002E39A5" w:rsidP="002E39A5">
      <w:pPr>
        <w:shd w:val="clear" w:color="auto" w:fill="FFFFFF"/>
        <w:spacing w:after="150"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Συμπληρωματικά ενισχύονται δαπάνες προμήθειας μεταφορικών μέσων, υπηρεσιών συμβούλων για την παρακολούθηση του επενδυτικού σχεδίου καθώς και πλήρους μισθολογικού κόστους νεοπροσλαμβανόμενου προσωπικού.</w:t>
      </w:r>
    </w:p>
    <w:p w14:paraId="2F0CAFF1" w14:textId="77777777" w:rsidR="002E39A5" w:rsidRPr="002E39A5" w:rsidRDefault="002E39A5" w:rsidP="002E39A5">
      <w:pPr>
        <w:shd w:val="clear" w:color="auto" w:fill="FFFFFF"/>
        <w:spacing w:before="300" w:after="75" w:line="240" w:lineRule="auto"/>
        <w:outlineLvl w:val="3"/>
        <w:rPr>
          <w:rFonts w:ascii="Arial" w:eastAsia="Times New Roman" w:hAnsi="Arial" w:cs="Arial"/>
          <w:b/>
          <w:bCs/>
          <w:color w:val="3E454C"/>
          <w:sz w:val="24"/>
          <w:szCs w:val="24"/>
          <w:lang w:eastAsia="el-GR"/>
        </w:rPr>
      </w:pPr>
      <w:r w:rsidRPr="002E39A5">
        <w:rPr>
          <w:rFonts w:ascii="Arial" w:eastAsia="Times New Roman" w:hAnsi="Arial" w:cs="Arial"/>
          <w:b/>
          <w:bCs/>
          <w:color w:val="3E454C"/>
          <w:sz w:val="24"/>
          <w:szCs w:val="24"/>
          <w:lang w:eastAsia="el-GR"/>
        </w:rPr>
        <w:t>Σε ποιους απευθύνεται</w:t>
      </w:r>
    </w:p>
    <w:p w14:paraId="14C68081" w14:textId="77777777" w:rsidR="002E39A5" w:rsidRPr="002E39A5" w:rsidRDefault="002E39A5" w:rsidP="002E39A5">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Υφιστάμενες Μεσαίες Επιχειρήσεις οι οποίες πριν την ημερομηνία ηλεκτρονικής υποβολής της αίτησης χρηματοδότησης:</w:t>
      </w:r>
    </w:p>
    <w:p w14:paraId="1E3C8113" w14:textId="77777777" w:rsidR="002E39A5" w:rsidRPr="002E39A5" w:rsidRDefault="002E39A5" w:rsidP="002E39A5">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έχουν κλείσει τουλάχιστον 3 διαχειριστικές χρήσεις δωδεκάμηνης διάρκειας</w:t>
      </w:r>
    </w:p>
    <w:p w14:paraId="12306FD3" w14:textId="77777777" w:rsidR="002E39A5" w:rsidRPr="002E39A5" w:rsidRDefault="002E39A5" w:rsidP="002E39A5">
      <w:pPr>
        <w:numPr>
          <w:ilvl w:val="0"/>
          <w:numId w:val="2"/>
        </w:numPr>
        <w:shd w:val="clear" w:color="auto" w:fill="FFFFFF"/>
        <w:spacing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διαθέτουν έναν τουλάχιστον επιλέξιμο ΚΑΔ του Παραρτήματος ΙV.</w:t>
      </w:r>
    </w:p>
    <w:p w14:paraId="673EB4C9" w14:textId="77777777" w:rsidR="002E39A5" w:rsidRPr="002E39A5" w:rsidRDefault="002E39A5" w:rsidP="002E39A5">
      <w:pPr>
        <w:shd w:val="clear" w:color="auto" w:fill="FFFFFF"/>
        <w:spacing w:before="300" w:after="75" w:line="240" w:lineRule="auto"/>
        <w:outlineLvl w:val="3"/>
        <w:rPr>
          <w:rFonts w:ascii="Arial" w:eastAsia="Times New Roman" w:hAnsi="Arial" w:cs="Arial"/>
          <w:b/>
          <w:bCs/>
          <w:color w:val="3E454C"/>
          <w:sz w:val="24"/>
          <w:szCs w:val="24"/>
          <w:lang w:eastAsia="el-GR"/>
        </w:rPr>
      </w:pPr>
      <w:r w:rsidRPr="002E39A5">
        <w:rPr>
          <w:rFonts w:ascii="Arial" w:eastAsia="Times New Roman" w:hAnsi="Arial" w:cs="Arial"/>
          <w:b/>
          <w:bCs/>
          <w:color w:val="3E454C"/>
          <w:sz w:val="24"/>
          <w:szCs w:val="24"/>
          <w:lang w:eastAsia="el-GR"/>
        </w:rPr>
        <w:t>Περίοδος υποβολής</w:t>
      </w:r>
    </w:p>
    <w:p w14:paraId="6BAA79A1" w14:textId="77777777" w:rsidR="002E39A5" w:rsidRPr="002E39A5" w:rsidRDefault="002E39A5" w:rsidP="002E39A5">
      <w:pPr>
        <w:pBdr>
          <w:left w:val="single" w:sz="18" w:space="11" w:color="034EA2"/>
        </w:pBdr>
        <w:shd w:val="clear" w:color="auto" w:fill="FFFFFF"/>
        <w:spacing w:beforeAutospacing="1" w:after="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από 27/6/2018 (και ώρα 12.00 το μεσημέρι)</w:t>
      </w:r>
      <w:r w:rsidRPr="002E39A5">
        <w:rPr>
          <w:rFonts w:ascii="Tahoma" w:eastAsia="Times New Roman" w:hAnsi="Tahoma" w:cs="Tahoma"/>
          <w:color w:val="3E454C"/>
          <w:lang w:eastAsia="el-GR"/>
        </w:rPr>
        <w:br/>
        <w:t>έως εξαντλήσεως προϋπολογισμού</w:t>
      </w:r>
    </w:p>
    <w:p w14:paraId="060903F0" w14:textId="77777777" w:rsidR="002E39A5" w:rsidRPr="002E39A5" w:rsidRDefault="002E39A5" w:rsidP="002E39A5">
      <w:pPr>
        <w:shd w:val="clear" w:color="auto" w:fill="FFFFFF"/>
        <w:spacing w:after="150"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Η Πρόσκληση θα παραμείνει ανοιχτή προς υποβολή αιτήσεων μέχρι εξαντλήσεως του διαθέσιμου προϋπολογισμού και το αργότερο μέχρι τη συμπλήρωση 18 μηνών από την αρχική δημοσίευσή της. Καθ’ όλη την προαναφερόμενη περίοδο - και υπό την προϋπόθεση της ύπαρξης διαθέσιμου προϋπολογισμού- οι ενδιαφερόμενοι μπορούν να υποβάλουν αιτήσεις χρηματοδότησης.</w:t>
      </w:r>
    </w:p>
    <w:p w14:paraId="22E8B7C6" w14:textId="77777777" w:rsidR="002E39A5" w:rsidRPr="002E39A5" w:rsidRDefault="002E39A5" w:rsidP="002E39A5">
      <w:pPr>
        <w:shd w:val="clear" w:color="auto" w:fill="FFFFFF"/>
        <w:spacing w:after="0"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t>
      </w:r>
      <w:hyperlink r:id="rId5" w:history="1">
        <w:r w:rsidRPr="002E39A5">
          <w:rPr>
            <w:rFonts w:ascii="Tahoma" w:eastAsia="Times New Roman" w:hAnsi="Tahoma" w:cs="Tahoma"/>
            <w:color w:val="239DDE"/>
            <w:u w:val="single"/>
            <w:lang w:eastAsia="el-GR"/>
          </w:rPr>
          <w:t>www.ependyseis.gr/mis</w:t>
        </w:r>
      </w:hyperlink>
      <w:r w:rsidRPr="002E39A5">
        <w:rPr>
          <w:rFonts w:ascii="Tahoma" w:eastAsia="Times New Roman" w:hAnsi="Tahoma" w:cs="Tahoma"/>
          <w:color w:val="3E454C"/>
          <w:lang w:eastAsia="el-GR"/>
        </w:rPr>
        <w:t xml:space="preserve">. 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2E39A5">
        <w:rPr>
          <w:rFonts w:ascii="Tahoma" w:eastAsia="Times New Roman" w:hAnsi="Tahoma" w:cs="Tahoma"/>
          <w:color w:val="3E454C"/>
          <w:lang w:eastAsia="el-GR"/>
        </w:rPr>
        <w:t>pdf</w:t>
      </w:r>
      <w:proofErr w:type="spellEnd"/>
      <w:r w:rsidRPr="002E39A5">
        <w:rPr>
          <w:rFonts w:ascii="Tahoma" w:eastAsia="Times New Roman" w:hAnsi="Tahoma" w:cs="Tahoma"/>
          <w:color w:val="3E454C"/>
          <w:lang w:eastAsia="el-GR"/>
        </w:rPr>
        <w:t>). Επισημαίνεται ότι κάθε επισυναπτόμενο έγγραφο θα πρέπει να έχει χωρητικότητα μέχρι 10 ΜB. Οι νέοι χρήστες κατά την εγγραφή τους στο Πληροφοριακό Σύστημα Κρατικών Ενισχύσεων συμπληρώνουν το ΑΦΜ της επιχείρησης και επιλέγουν τη Δράση με τίτλο «Ποιοτικός Εκσυγχρονισμός».</w:t>
      </w:r>
    </w:p>
    <w:p w14:paraId="54DEF980" w14:textId="77777777" w:rsidR="002E39A5" w:rsidRPr="002E39A5" w:rsidRDefault="002E39A5" w:rsidP="002E39A5">
      <w:pPr>
        <w:shd w:val="clear" w:color="auto" w:fill="FFFFFF"/>
        <w:spacing w:before="300" w:after="75" w:line="240" w:lineRule="auto"/>
        <w:outlineLvl w:val="3"/>
        <w:rPr>
          <w:rFonts w:ascii="Arial" w:eastAsia="Times New Roman" w:hAnsi="Arial" w:cs="Arial"/>
          <w:b/>
          <w:bCs/>
          <w:color w:val="3E454C"/>
          <w:sz w:val="24"/>
          <w:szCs w:val="24"/>
          <w:lang w:eastAsia="el-GR"/>
        </w:rPr>
      </w:pPr>
      <w:r w:rsidRPr="002E39A5">
        <w:rPr>
          <w:rFonts w:ascii="Arial" w:eastAsia="Times New Roman" w:hAnsi="Arial" w:cs="Arial"/>
          <w:b/>
          <w:bCs/>
          <w:color w:val="3E454C"/>
          <w:sz w:val="24"/>
          <w:szCs w:val="24"/>
          <w:lang w:eastAsia="el-GR"/>
        </w:rPr>
        <w:t>Είδος ενίσχυσης</w:t>
      </w:r>
    </w:p>
    <w:p w14:paraId="091683C9" w14:textId="77777777" w:rsidR="002E39A5" w:rsidRPr="002E39A5" w:rsidRDefault="002E39A5" w:rsidP="002E39A5">
      <w:pPr>
        <w:pBdr>
          <w:left w:val="single" w:sz="18" w:space="11" w:color="034EA2"/>
        </w:pBdr>
        <w:shd w:val="clear" w:color="auto" w:fill="FFFFFF"/>
        <w:spacing w:beforeAutospacing="1" w:after="0" w:afterAutospacing="1" w:line="240" w:lineRule="auto"/>
        <w:rPr>
          <w:rFonts w:ascii="Tahoma" w:eastAsia="Times New Roman" w:hAnsi="Tahoma" w:cs="Tahoma"/>
          <w:color w:val="3E454C"/>
          <w:lang w:eastAsia="el-GR"/>
        </w:rPr>
      </w:pPr>
      <w:hyperlink r:id="rId6" w:history="1">
        <w:r w:rsidRPr="002E39A5">
          <w:rPr>
            <w:rFonts w:ascii="Tahoma" w:eastAsia="Times New Roman" w:hAnsi="Tahoma" w:cs="Tahoma"/>
            <w:b/>
            <w:bCs/>
            <w:color w:val="239DDE"/>
            <w:u w:val="single"/>
            <w:lang w:eastAsia="el-GR"/>
          </w:rPr>
          <w:t>Επιχορήγηση / Επιδότηση</w:t>
        </w:r>
      </w:hyperlink>
    </w:p>
    <w:p w14:paraId="3FCA7928" w14:textId="77777777" w:rsidR="002E39A5" w:rsidRPr="002E39A5" w:rsidRDefault="002E39A5" w:rsidP="002E39A5">
      <w:pPr>
        <w:shd w:val="clear" w:color="auto" w:fill="FFFFFF"/>
        <w:spacing w:before="300" w:after="75" w:line="240" w:lineRule="auto"/>
        <w:outlineLvl w:val="3"/>
        <w:rPr>
          <w:rFonts w:ascii="Arial" w:eastAsia="Times New Roman" w:hAnsi="Arial" w:cs="Arial"/>
          <w:b/>
          <w:bCs/>
          <w:color w:val="3E454C"/>
          <w:sz w:val="24"/>
          <w:szCs w:val="24"/>
          <w:lang w:eastAsia="el-GR"/>
        </w:rPr>
      </w:pPr>
      <w:r w:rsidRPr="002E39A5">
        <w:rPr>
          <w:rFonts w:ascii="Arial" w:eastAsia="Times New Roman" w:hAnsi="Arial" w:cs="Arial"/>
          <w:b/>
          <w:bCs/>
          <w:color w:val="3E454C"/>
          <w:sz w:val="24"/>
          <w:szCs w:val="24"/>
          <w:lang w:eastAsia="el-GR"/>
        </w:rPr>
        <w:t>Περιοχή εφαρμογής</w:t>
      </w:r>
    </w:p>
    <w:p w14:paraId="5596C3C7" w14:textId="77777777" w:rsidR="002E39A5" w:rsidRPr="002E39A5" w:rsidRDefault="002E39A5" w:rsidP="002E39A5">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Όλη η Ελλάδα</w:t>
      </w:r>
    </w:p>
    <w:p w14:paraId="13E197BE" w14:textId="77777777" w:rsidR="002E39A5" w:rsidRPr="002E39A5" w:rsidRDefault="002E39A5" w:rsidP="002E39A5">
      <w:pPr>
        <w:shd w:val="clear" w:color="auto" w:fill="FFFFFF"/>
        <w:spacing w:before="300" w:after="75" w:line="240" w:lineRule="auto"/>
        <w:outlineLvl w:val="3"/>
        <w:rPr>
          <w:rFonts w:ascii="Arial" w:eastAsia="Times New Roman" w:hAnsi="Arial" w:cs="Arial"/>
          <w:b/>
          <w:bCs/>
          <w:color w:val="3E454C"/>
          <w:sz w:val="24"/>
          <w:szCs w:val="24"/>
          <w:lang w:eastAsia="el-GR"/>
        </w:rPr>
      </w:pPr>
      <w:r w:rsidRPr="002E39A5">
        <w:rPr>
          <w:rFonts w:ascii="Arial" w:eastAsia="Times New Roman" w:hAnsi="Arial" w:cs="Arial"/>
          <w:b/>
          <w:bCs/>
          <w:color w:val="3E454C"/>
          <w:sz w:val="24"/>
          <w:szCs w:val="24"/>
          <w:lang w:eastAsia="el-GR"/>
        </w:rPr>
        <w:lastRenderedPageBreak/>
        <w:t>Όροι και προϋποθέσεις</w:t>
      </w:r>
    </w:p>
    <w:p w14:paraId="5086FD75" w14:textId="7E171F67" w:rsidR="002E39A5" w:rsidRPr="002E39A5" w:rsidRDefault="002E39A5" w:rsidP="002E39A5">
      <w:pPr>
        <w:shd w:val="clear" w:color="auto" w:fill="FFFFFF"/>
        <w:spacing w:after="0"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Οι επιχειρήσεις θα πρέπει: Να έχουν την ιδιότητα της μεσαίας επιχείρησης, σύμφωνα με τη Σύσταση της .</w:t>
      </w:r>
      <w:bookmarkStart w:id="0" w:name="_GoBack"/>
      <w:bookmarkEnd w:id="0"/>
    </w:p>
    <w:p w14:paraId="65B65C80" w14:textId="77777777" w:rsidR="002E39A5" w:rsidRPr="002E39A5" w:rsidRDefault="002E39A5" w:rsidP="002E39A5">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Οι επιχειρήσεις θα πρέπει:</w:t>
      </w:r>
    </w:p>
    <w:p w14:paraId="20078307" w14:textId="77777777" w:rsidR="002E39A5" w:rsidRPr="002E39A5" w:rsidRDefault="002E39A5" w:rsidP="002E39A5">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Να έχουν την ιδιότητα της μεσαίας επιχείρησης, σύμφωνα με τη Σύσταση της Επιτροπής 2003/361/ΕΚ (Παράρτημα VII «Ορισμός Προβληματικής Επιχείρησης»)</w:t>
      </w:r>
    </w:p>
    <w:p w14:paraId="5B3A65EE" w14:textId="77777777" w:rsidR="002E39A5" w:rsidRPr="002E39A5" w:rsidRDefault="002E39A5" w:rsidP="002E39A5">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Να λειτουργούν νόμιμα διαθέτοντας όλες τις απαραίτητες άδειες λειτουργίας</w:t>
      </w:r>
    </w:p>
    <w:p w14:paraId="6A6532C0" w14:textId="77777777" w:rsidR="002E39A5" w:rsidRPr="002E39A5" w:rsidRDefault="002E39A5" w:rsidP="002E39A5">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Να λειτουργούν ως ΑΕ, ΕΠΕ ΟΕ, ΕΕ, ΙΚΕ, ΝΕΠΑ, Ατομική Επιχείρηση, Κοινωνική Συνεταιριστική Επιχείρηση του ν. 4430/2016, Συνεταιρισμός και να τηρούν ή να δεσμευτούν ότι θα τηρήσουν εφόσον εγκριθούν απλογραφικά ή διπλογραφικά βιβλία του ν. 4308/2014</w:t>
      </w:r>
    </w:p>
    <w:p w14:paraId="4758E10B" w14:textId="77777777" w:rsidR="002E39A5" w:rsidRPr="002E39A5" w:rsidRDefault="002E39A5" w:rsidP="002E39A5">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Να υποβάλλουν στα επενδυτικά σχέδια δαπάνες που δεν έχουν χρηματοδοτηθεί και δεν έχουν ενταχθεί σε άλλο πρόγραμμα που χρηματοδοτείται από εθνικούς ή κοινοτικούς πόρους</w:t>
      </w:r>
    </w:p>
    <w:p w14:paraId="37BE2F0D" w14:textId="77777777" w:rsidR="002E39A5" w:rsidRPr="002E39A5" w:rsidRDefault="002E39A5" w:rsidP="002E39A5">
      <w:pPr>
        <w:numPr>
          <w:ilvl w:val="0"/>
          <w:numId w:val="3"/>
        </w:numPr>
        <w:shd w:val="clear" w:color="auto" w:fill="FFFFFF"/>
        <w:spacing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Να πραγματοποιήσουν μία επενδυτική πρόταση ανά ΑΦΜ, αποκλειστικά σε μία μόνο Περιφέρεια.</w:t>
      </w:r>
    </w:p>
    <w:p w14:paraId="161FC736" w14:textId="77777777" w:rsidR="002E39A5" w:rsidRPr="002E39A5" w:rsidRDefault="002E39A5" w:rsidP="002E39A5">
      <w:pPr>
        <w:shd w:val="clear" w:color="auto" w:fill="FFFFFF"/>
        <w:spacing w:before="300" w:after="75" w:line="240" w:lineRule="auto"/>
        <w:outlineLvl w:val="3"/>
        <w:rPr>
          <w:rFonts w:ascii="Arial" w:eastAsia="Times New Roman" w:hAnsi="Arial" w:cs="Arial"/>
          <w:b/>
          <w:bCs/>
          <w:color w:val="3E454C"/>
          <w:sz w:val="24"/>
          <w:szCs w:val="24"/>
          <w:lang w:eastAsia="el-GR"/>
        </w:rPr>
      </w:pPr>
      <w:r w:rsidRPr="002E39A5">
        <w:rPr>
          <w:rFonts w:ascii="Arial" w:eastAsia="Times New Roman" w:hAnsi="Arial" w:cs="Arial"/>
          <w:b/>
          <w:bCs/>
          <w:color w:val="3E454C"/>
          <w:sz w:val="24"/>
          <w:szCs w:val="24"/>
          <w:lang w:eastAsia="el-GR"/>
        </w:rPr>
        <w:t>Τι χρηματοδοτείται</w:t>
      </w:r>
    </w:p>
    <w:p w14:paraId="5C2A3304" w14:textId="77777777" w:rsidR="002E39A5" w:rsidRPr="002E39A5" w:rsidRDefault="002E39A5" w:rsidP="002E39A5">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Μηχανήματα – Εξοπλισμός, μέχρι 100% του επενδυτικού σχεδίου</w:t>
      </w:r>
    </w:p>
    <w:p w14:paraId="59F3F678" w14:textId="77777777" w:rsidR="002E39A5" w:rsidRPr="002E39A5" w:rsidRDefault="002E39A5" w:rsidP="002E39A5">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Συστήματα Πιστοποίησης – Διαχείρισης Ποιότητας, Σχεδιασμός, Τυποποίηση και Πιστοποίηση Προϊόντων μέχρι 100% του επενδυτικού σχεδίου</w:t>
      </w:r>
    </w:p>
    <w:p w14:paraId="7F434783" w14:textId="77777777" w:rsidR="002E39A5" w:rsidRPr="002E39A5" w:rsidRDefault="002E39A5" w:rsidP="002E39A5">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Μεταφορικά μέσα</w:t>
      </w:r>
    </w:p>
    <w:p w14:paraId="531B5856" w14:textId="77777777" w:rsidR="002E39A5" w:rsidRPr="002E39A5" w:rsidRDefault="002E39A5" w:rsidP="002E39A5">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Σύνταξη και παρακολούθηση του επενδυτικού σχεδίου</w:t>
      </w:r>
    </w:p>
    <w:p w14:paraId="5B18BCDF" w14:textId="77777777" w:rsidR="002E39A5" w:rsidRPr="002E39A5" w:rsidRDefault="002E39A5" w:rsidP="002E39A5">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Μισθολογικό κόστος εργαζομένων (νέο προσωπικό).</w:t>
      </w:r>
      <w:r w:rsidRPr="002E39A5">
        <w:rPr>
          <w:rFonts w:ascii="Tahoma" w:eastAsia="Times New Roman" w:hAnsi="Tahoma" w:cs="Tahoma"/>
          <w:color w:val="3E454C"/>
          <w:lang w:eastAsia="el-GR"/>
        </w:rPr>
        <w:br/>
      </w:r>
    </w:p>
    <w:p w14:paraId="5F12AAD9" w14:textId="77777777" w:rsidR="002E39A5" w:rsidRPr="002E39A5" w:rsidRDefault="002E39A5" w:rsidP="002E39A5">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Οι δαπάνες είναι επιλέξιμες από την ημερομηνία δημοσίευσης της πρόσκλησης.</w:t>
      </w:r>
    </w:p>
    <w:p w14:paraId="6A313FFD" w14:textId="77777777" w:rsidR="002E39A5" w:rsidRPr="002E39A5" w:rsidRDefault="002E39A5" w:rsidP="002E39A5">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Η περίοδος υλοποίησης της επένδυσης δεν μπορεί να υπερβαίνει τους 24 μήνες από την ημερομηνία έκδοσης της Απόφασης Ένταξης.</w:t>
      </w:r>
    </w:p>
    <w:p w14:paraId="7E70C218" w14:textId="77777777" w:rsidR="002E39A5" w:rsidRPr="002E39A5" w:rsidRDefault="002E39A5" w:rsidP="002E39A5">
      <w:pPr>
        <w:shd w:val="clear" w:color="auto" w:fill="FFFFFF"/>
        <w:spacing w:before="300" w:after="75" w:line="240" w:lineRule="auto"/>
        <w:outlineLvl w:val="3"/>
        <w:rPr>
          <w:rFonts w:ascii="Arial" w:eastAsia="Times New Roman" w:hAnsi="Arial" w:cs="Arial"/>
          <w:b/>
          <w:bCs/>
          <w:color w:val="3E454C"/>
          <w:sz w:val="24"/>
          <w:szCs w:val="24"/>
          <w:lang w:eastAsia="el-GR"/>
        </w:rPr>
      </w:pPr>
      <w:r w:rsidRPr="002E39A5">
        <w:rPr>
          <w:rFonts w:ascii="Arial" w:eastAsia="Times New Roman" w:hAnsi="Arial" w:cs="Arial"/>
          <w:b/>
          <w:bCs/>
          <w:color w:val="3E454C"/>
          <w:sz w:val="24"/>
          <w:szCs w:val="24"/>
          <w:lang w:eastAsia="el-GR"/>
        </w:rPr>
        <w:t>Προϋπολογισμός</w:t>
      </w:r>
    </w:p>
    <w:p w14:paraId="46D31638" w14:textId="77777777" w:rsidR="002E39A5" w:rsidRPr="002E39A5" w:rsidRDefault="002E39A5" w:rsidP="002E39A5">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€ 150.000.000</w:t>
      </w:r>
    </w:p>
    <w:p w14:paraId="2B0833CB" w14:textId="77777777" w:rsidR="002E39A5" w:rsidRPr="002E39A5" w:rsidRDefault="002E39A5" w:rsidP="002E39A5">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2E39A5">
        <w:rPr>
          <w:rFonts w:ascii="Tahoma" w:eastAsia="Times New Roman" w:hAnsi="Tahoma" w:cs="Tahoma"/>
          <w:color w:val="3E454C"/>
          <w:lang w:eastAsia="el-GR"/>
        </w:rPr>
        <w:t>Αναλυτικά:</w:t>
      </w:r>
    </w:p>
    <w:p w14:paraId="74B7B73A" w14:textId="77777777" w:rsidR="002E39A5" w:rsidRPr="002E39A5" w:rsidRDefault="002E39A5" w:rsidP="002E39A5">
      <w:pPr>
        <w:numPr>
          <w:ilvl w:val="0"/>
          <w:numId w:val="5"/>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Ανατολική Μακεδονία &amp; Θράκη, Κεντρική Μακεδονία, Ήπειρος, Θεσσαλία, Δυτική Ελλάδα: 65.000.000 ευρώ</w:t>
      </w:r>
    </w:p>
    <w:p w14:paraId="46FD2D06" w14:textId="77777777" w:rsidR="002E39A5" w:rsidRPr="002E39A5" w:rsidRDefault="002E39A5" w:rsidP="002E39A5">
      <w:pPr>
        <w:numPr>
          <w:ilvl w:val="0"/>
          <w:numId w:val="5"/>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Δυτική Μακεδονία, Ιόνια Νησιά, Πελοπόννησος, Βόρειο Αιγαίο, Κρήτη: 18.750.000 ευρώ</w:t>
      </w:r>
    </w:p>
    <w:p w14:paraId="79B509E1" w14:textId="77777777" w:rsidR="002E39A5" w:rsidRPr="002E39A5" w:rsidRDefault="002E39A5" w:rsidP="002E39A5">
      <w:pPr>
        <w:numPr>
          <w:ilvl w:val="0"/>
          <w:numId w:val="5"/>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Αττική: 56.250.000 ευρώ</w:t>
      </w:r>
    </w:p>
    <w:p w14:paraId="3149009D" w14:textId="77777777" w:rsidR="002E39A5" w:rsidRPr="002E39A5" w:rsidRDefault="002E39A5" w:rsidP="002E39A5">
      <w:pPr>
        <w:numPr>
          <w:ilvl w:val="0"/>
          <w:numId w:val="5"/>
        </w:numPr>
        <w:shd w:val="clear" w:color="auto" w:fill="FFFFFF"/>
        <w:spacing w:after="0"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Στερεά Ελλάδα: 6.250.000 ευρώ</w:t>
      </w:r>
    </w:p>
    <w:p w14:paraId="58A954E2" w14:textId="77777777" w:rsidR="002E39A5" w:rsidRPr="002E39A5" w:rsidRDefault="002E39A5" w:rsidP="002E39A5">
      <w:pPr>
        <w:numPr>
          <w:ilvl w:val="0"/>
          <w:numId w:val="5"/>
        </w:numPr>
        <w:shd w:val="clear" w:color="auto" w:fill="FFFFFF"/>
        <w:spacing w:line="240" w:lineRule="auto"/>
        <w:ind w:left="600" w:right="300"/>
        <w:rPr>
          <w:rFonts w:ascii="Tahoma" w:eastAsia="Times New Roman" w:hAnsi="Tahoma" w:cs="Tahoma"/>
          <w:color w:val="3E454C"/>
          <w:lang w:eastAsia="el-GR"/>
        </w:rPr>
      </w:pPr>
      <w:r w:rsidRPr="002E39A5">
        <w:rPr>
          <w:rFonts w:ascii="Tahoma" w:eastAsia="Times New Roman" w:hAnsi="Tahoma" w:cs="Tahoma"/>
          <w:color w:val="3E454C"/>
          <w:lang w:eastAsia="el-GR"/>
        </w:rPr>
        <w:t>Νότιο Αιγαίο: 3.750.000 ευρώ</w:t>
      </w:r>
    </w:p>
    <w:p w14:paraId="2150C050" w14:textId="77777777" w:rsidR="002E39A5" w:rsidRPr="002E39A5" w:rsidRDefault="002E39A5">
      <w:pPr>
        <w:rPr>
          <w:b/>
          <w:sz w:val="32"/>
          <w:szCs w:val="32"/>
        </w:rPr>
      </w:pPr>
    </w:p>
    <w:sectPr w:rsidR="002E39A5" w:rsidRPr="002E39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8DC"/>
    <w:multiLevelType w:val="multilevel"/>
    <w:tmpl w:val="29C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BD593B"/>
    <w:multiLevelType w:val="multilevel"/>
    <w:tmpl w:val="F19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BC7017"/>
    <w:multiLevelType w:val="multilevel"/>
    <w:tmpl w:val="CBE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907498"/>
    <w:multiLevelType w:val="multilevel"/>
    <w:tmpl w:val="6576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F69C0"/>
    <w:multiLevelType w:val="multilevel"/>
    <w:tmpl w:val="722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4C"/>
    <w:rsid w:val="002E39A5"/>
    <w:rsid w:val="0090264C"/>
    <w:rsid w:val="00EB5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E85D"/>
  <w15:chartTrackingRefBased/>
  <w15:docId w15:val="{0C710731-3A75-421F-B6BD-B0E6A96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95281">
      <w:bodyDiv w:val="1"/>
      <w:marLeft w:val="0"/>
      <w:marRight w:val="0"/>
      <w:marTop w:val="0"/>
      <w:marBottom w:val="0"/>
      <w:divBdr>
        <w:top w:val="none" w:sz="0" w:space="0" w:color="auto"/>
        <w:left w:val="none" w:sz="0" w:space="0" w:color="auto"/>
        <w:bottom w:val="none" w:sz="0" w:space="0" w:color="auto"/>
        <w:right w:val="none" w:sz="0" w:space="0" w:color="auto"/>
      </w:divBdr>
      <w:divsChild>
        <w:div w:id="1734044723">
          <w:marLeft w:val="0"/>
          <w:marRight w:val="0"/>
          <w:marTop w:val="0"/>
          <w:marBottom w:val="300"/>
          <w:divBdr>
            <w:top w:val="none" w:sz="0" w:space="0" w:color="auto"/>
            <w:left w:val="none" w:sz="0" w:space="0" w:color="auto"/>
            <w:bottom w:val="none" w:sz="0" w:space="0" w:color="auto"/>
            <w:right w:val="none" w:sz="0" w:space="0" w:color="auto"/>
          </w:divBdr>
          <w:divsChild>
            <w:div w:id="1900282749">
              <w:marLeft w:val="0"/>
              <w:marRight w:val="0"/>
              <w:marTop w:val="0"/>
              <w:marBottom w:val="0"/>
              <w:divBdr>
                <w:top w:val="none" w:sz="0" w:space="0" w:color="auto"/>
                <w:left w:val="none" w:sz="0" w:space="0" w:color="auto"/>
                <w:bottom w:val="none" w:sz="0" w:space="0" w:color="auto"/>
                <w:right w:val="none" w:sz="0" w:space="0" w:color="auto"/>
              </w:divBdr>
            </w:div>
          </w:divsChild>
        </w:div>
        <w:div w:id="1744327862">
          <w:marLeft w:val="0"/>
          <w:marRight w:val="0"/>
          <w:marTop w:val="0"/>
          <w:marBottom w:val="300"/>
          <w:divBdr>
            <w:top w:val="none" w:sz="0" w:space="0" w:color="auto"/>
            <w:left w:val="none" w:sz="0" w:space="0" w:color="auto"/>
            <w:bottom w:val="none" w:sz="0" w:space="0" w:color="auto"/>
            <w:right w:val="none" w:sz="0" w:space="0" w:color="auto"/>
          </w:divBdr>
          <w:divsChild>
            <w:div w:id="2121534374">
              <w:marLeft w:val="0"/>
              <w:marRight w:val="0"/>
              <w:marTop w:val="0"/>
              <w:marBottom w:val="0"/>
              <w:divBdr>
                <w:top w:val="none" w:sz="0" w:space="0" w:color="auto"/>
                <w:left w:val="none" w:sz="0" w:space="0" w:color="auto"/>
                <w:bottom w:val="none" w:sz="0" w:space="0" w:color="auto"/>
                <w:right w:val="none" w:sz="0" w:space="0" w:color="auto"/>
              </w:divBdr>
            </w:div>
          </w:divsChild>
        </w:div>
        <w:div w:id="2043478409">
          <w:marLeft w:val="0"/>
          <w:marRight w:val="0"/>
          <w:marTop w:val="0"/>
          <w:marBottom w:val="0"/>
          <w:divBdr>
            <w:top w:val="none" w:sz="0" w:space="0" w:color="auto"/>
            <w:left w:val="none" w:sz="0" w:space="0" w:color="auto"/>
            <w:bottom w:val="none" w:sz="0" w:space="0" w:color="auto"/>
            <w:right w:val="none" w:sz="0" w:space="0" w:color="auto"/>
          </w:divBdr>
          <w:divsChild>
            <w:div w:id="1522011293">
              <w:marLeft w:val="0"/>
              <w:marRight w:val="0"/>
              <w:marTop w:val="0"/>
              <w:marBottom w:val="0"/>
              <w:divBdr>
                <w:top w:val="none" w:sz="0" w:space="0" w:color="auto"/>
                <w:left w:val="none" w:sz="0" w:space="0" w:color="auto"/>
                <w:bottom w:val="none" w:sz="0" w:space="0" w:color="auto"/>
                <w:right w:val="none" w:sz="0" w:space="0" w:color="auto"/>
              </w:divBdr>
            </w:div>
          </w:divsChild>
        </w:div>
        <w:div w:id="606041159">
          <w:marLeft w:val="0"/>
          <w:marRight w:val="0"/>
          <w:marTop w:val="0"/>
          <w:marBottom w:val="0"/>
          <w:divBdr>
            <w:top w:val="none" w:sz="0" w:space="0" w:color="auto"/>
            <w:left w:val="none" w:sz="0" w:space="0" w:color="auto"/>
            <w:bottom w:val="none" w:sz="0" w:space="0" w:color="auto"/>
            <w:right w:val="none" w:sz="0" w:space="0" w:color="auto"/>
          </w:divBdr>
          <w:divsChild>
            <w:div w:id="1799953134">
              <w:marLeft w:val="0"/>
              <w:marRight w:val="0"/>
              <w:marTop w:val="0"/>
              <w:marBottom w:val="0"/>
              <w:divBdr>
                <w:top w:val="none" w:sz="0" w:space="0" w:color="auto"/>
                <w:left w:val="none" w:sz="0" w:space="0" w:color="auto"/>
                <w:bottom w:val="none" w:sz="0" w:space="0" w:color="auto"/>
                <w:right w:val="none" w:sz="0" w:space="0" w:color="auto"/>
              </w:divBdr>
            </w:div>
          </w:divsChild>
        </w:div>
        <w:div w:id="681080762">
          <w:marLeft w:val="0"/>
          <w:marRight w:val="0"/>
          <w:marTop w:val="0"/>
          <w:marBottom w:val="300"/>
          <w:divBdr>
            <w:top w:val="none" w:sz="0" w:space="0" w:color="auto"/>
            <w:left w:val="none" w:sz="0" w:space="0" w:color="auto"/>
            <w:bottom w:val="none" w:sz="0" w:space="0" w:color="auto"/>
            <w:right w:val="none" w:sz="0" w:space="0" w:color="auto"/>
          </w:divBdr>
          <w:divsChild>
            <w:div w:id="1736316397">
              <w:marLeft w:val="0"/>
              <w:marRight w:val="0"/>
              <w:marTop w:val="0"/>
              <w:marBottom w:val="0"/>
              <w:divBdr>
                <w:top w:val="none" w:sz="0" w:space="0" w:color="auto"/>
                <w:left w:val="none" w:sz="0" w:space="0" w:color="auto"/>
                <w:bottom w:val="none" w:sz="0" w:space="0" w:color="auto"/>
                <w:right w:val="none" w:sz="0" w:space="0" w:color="auto"/>
              </w:divBdr>
              <w:divsChild>
                <w:div w:id="20941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763">
          <w:marLeft w:val="0"/>
          <w:marRight w:val="0"/>
          <w:marTop w:val="0"/>
          <w:marBottom w:val="300"/>
          <w:divBdr>
            <w:top w:val="none" w:sz="0" w:space="0" w:color="auto"/>
            <w:left w:val="none" w:sz="0" w:space="0" w:color="auto"/>
            <w:bottom w:val="none" w:sz="0" w:space="0" w:color="auto"/>
            <w:right w:val="none" w:sz="0" w:space="0" w:color="auto"/>
          </w:divBdr>
          <w:divsChild>
            <w:div w:id="1839149581">
              <w:marLeft w:val="0"/>
              <w:marRight w:val="0"/>
              <w:marTop w:val="0"/>
              <w:marBottom w:val="0"/>
              <w:divBdr>
                <w:top w:val="none" w:sz="0" w:space="0" w:color="auto"/>
                <w:left w:val="none" w:sz="0" w:space="0" w:color="auto"/>
                <w:bottom w:val="none" w:sz="0" w:space="0" w:color="auto"/>
                <w:right w:val="none" w:sz="0" w:space="0" w:color="auto"/>
              </w:divBdr>
            </w:div>
          </w:divsChild>
        </w:div>
        <w:div w:id="1711564540">
          <w:marLeft w:val="0"/>
          <w:marRight w:val="0"/>
          <w:marTop w:val="0"/>
          <w:marBottom w:val="300"/>
          <w:divBdr>
            <w:top w:val="none" w:sz="0" w:space="0" w:color="auto"/>
            <w:left w:val="none" w:sz="0" w:space="0" w:color="auto"/>
            <w:bottom w:val="none" w:sz="0" w:space="0" w:color="auto"/>
            <w:right w:val="none" w:sz="0" w:space="0" w:color="auto"/>
          </w:divBdr>
          <w:divsChild>
            <w:div w:id="3669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pa.gr/el/Pages/Proclamations.aspx?fs=True&amp;country=True&amp;aid=%CE%95%CF%80%CE%B9%CF%87%CE%BF%CF%81%CE%AE%CE%B3%CE%B7%CF%83%CE%B7%20%2F%20%CE%95%CF%80%CE%B9%CE%B4%CF%8C%CF%84%CE%B7%CF%83%CE%B7" TargetMode="External"/><Relationship Id="rId5" Type="http://schemas.openxmlformats.org/officeDocument/2006/relationships/hyperlink" Target="http://www.ependyseis.gr/m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3479</Characters>
  <Application>Microsoft Office Word</Application>
  <DocSecurity>0</DocSecurity>
  <Lines>28</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LAGOUMITZIS</dc:creator>
  <cp:keywords/>
  <dc:description/>
  <cp:lastModifiedBy>CHRISTOS LAGOUMITZIS</cp:lastModifiedBy>
  <cp:revision>4</cp:revision>
  <dcterms:created xsi:type="dcterms:W3CDTF">2018-06-11T03:59:00Z</dcterms:created>
  <dcterms:modified xsi:type="dcterms:W3CDTF">2018-06-11T04:01:00Z</dcterms:modified>
</cp:coreProperties>
</file>