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2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828"/>
      </w:tblGrid>
      <w:tr w:rsidR="00F55856" w14:paraId="660D30D2" w14:textId="77777777">
        <w:trPr>
          <w:trHeight w:hRule="exact" w:val="592"/>
        </w:trPr>
        <w:tc>
          <w:tcPr>
            <w:tcW w:w="8828" w:type="dxa"/>
            <w:tcBorders>
              <w:top w:val="single" w:sz="5" w:space="0" w:color="000000"/>
              <w:left w:val="single" w:sz="3" w:space="0" w:color="000000"/>
              <w:bottom w:val="single" w:sz="5" w:space="0" w:color="000000"/>
              <w:right w:val="single" w:sz="5" w:space="0" w:color="000000"/>
            </w:tcBorders>
            <w:shd w:val="clear" w:color="auto" w:fill="DFDFDF"/>
            <w:tcMar>
              <w:top w:w="80" w:type="dxa"/>
              <w:left w:w="320" w:type="dxa"/>
              <w:bottom w:w="80" w:type="dxa"/>
              <w:right w:w="80" w:type="dxa"/>
            </w:tcMar>
          </w:tcPr>
          <w:p w14:paraId="5EC927EA" w14:textId="77777777" w:rsidR="00F55856" w:rsidRDefault="003E7C9F">
            <w:pPr>
              <w:pStyle w:val="BodyA"/>
              <w:widowControl w:val="0"/>
              <w:spacing w:after="0" w:line="418" w:lineRule="exact"/>
              <w:ind w:left="240"/>
              <w:jc w:val="center"/>
            </w:pPr>
            <w:r>
              <w:rPr>
                <w:rStyle w:val="NoneB"/>
                <w:b/>
                <w:bCs/>
                <w:spacing w:val="1"/>
                <w:sz w:val="37"/>
                <w:szCs w:val="37"/>
              </w:rPr>
              <w:t>FDI</w:t>
            </w:r>
            <w:r>
              <w:rPr>
                <w:rStyle w:val="NoneB"/>
                <w:b/>
                <w:bCs/>
                <w:spacing w:val="20"/>
                <w:sz w:val="37"/>
                <w:szCs w:val="37"/>
              </w:rPr>
              <w:t xml:space="preserve"> DRAFT </w:t>
            </w:r>
            <w:r>
              <w:rPr>
                <w:rStyle w:val="NoneB"/>
                <w:b/>
                <w:bCs/>
                <w:spacing w:val="1"/>
                <w:sz w:val="37"/>
                <w:szCs w:val="37"/>
              </w:rPr>
              <w:t>POLICY</w:t>
            </w:r>
            <w:r>
              <w:rPr>
                <w:rStyle w:val="NoneB"/>
                <w:b/>
                <w:bCs/>
                <w:spacing w:val="18"/>
                <w:sz w:val="37"/>
                <w:szCs w:val="37"/>
              </w:rPr>
              <w:t xml:space="preserve"> </w:t>
            </w:r>
            <w:r>
              <w:rPr>
                <w:rStyle w:val="NoneB"/>
                <w:b/>
                <w:bCs/>
                <w:spacing w:val="1"/>
                <w:sz w:val="37"/>
                <w:szCs w:val="37"/>
              </w:rPr>
              <w:t>STATEMENT</w:t>
            </w:r>
          </w:p>
        </w:tc>
      </w:tr>
      <w:tr w:rsidR="00F55856" w14:paraId="3C27D1E4" w14:textId="77777777">
        <w:trPr>
          <w:trHeight w:hRule="exact" w:val="172"/>
        </w:trPr>
        <w:tc>
          <w:tcPr>
            <w:tcW w:w="8828" w:type="dxa"/>
            <w:tcBorders>
              <w:top w:val="single" w:sz="5" w:space="0" w:color="000000"/>
              <w:left w:val="single" w:sz="3" w:space="0" w:color="000000"/>
              <w:bottom w:val="single" w:sz="5" w:space="0" w:color="000000"/>
              <w:right w:val="single" w:sz="5" w:space="0" w:color="000000"/>
            </w:tcBorders>
            <w:shd w:val="clear" w:color="auto" w:fill="auto"/>
            <w:tcMar>
              <w:top w:w="80" w:type="dxa"/>
              <w:left w:w="80" w:type="dxa"/>
              <w:bottom w:w="80" w:type="dxa"/>
              <w:right w:w="80" w:type="dxa"/>
            </w:tcMar>
          </w:tcPr>
          <w:p w14:paraId="2316C8F3" w14:textId="77777777" w:rsidR="00F55856" w:rsidRDefault="00F55856"/>
        </w:tc>
      </w:tr>
      <w:tr w:rsidR="00F55856" w14:paraId="069C50B3" w14:textId="77777777">
        <w:trPr>
          <w:trHeight w:hRule="exact" w:val="486"/>
        </w:trPr>
        <w:tc>
          <w:tcPr>
            <w:tcW w:w="8828" w:type="dxa"/>
            <w:tcBorders>
              <w:top w:val="single" w:sz="5" w:space="0" w:color="000000"/>
              <w:left w:val="single" w:sz="3" w:space="0" w:color="000000"/>
              <w:bottom w:val="single" w:sz="5" w:space="0" w:color="000000"/>
              <w:right w:val="single" w:sz="5" w:space="0" w:color="000000"/>
            </w:tcBorders>
            <w:shd w:val="clear" w:color="auto" w:fill="DFDFDF"/>
            <w:tcMar>
              <w:top w:w="80" w:type="dxa"/>
              <w:left w:w="320" w:type="dxa"/>
              <w:bottom w:w="80" w:type="dxa"/>
              <w:right w:w="80" w:type="dxa"/>
            </w:tcMar>
          </w:tcPr>
          <w:p w14:paraId="5EABF9D5" w14:textId="77777777" w:rsidR="00F55856" w:rsidRDefault="003E7C9F">
            <w:pPr>
              <w:pStyle w:val="BodyA"/>
              <w:widowControl w:val="0"/>
              <w:spacing w:after="0" w:line="331" w:lineRule="exact"/>
              <w:ind w:left="240"/>
              <w:jc w:val="center"/>
            </w:pPr>
            <w:r>
              <w:rPr>
                <w:rStyle w:val="NoneB"/>
                <w:b/>
                <w:bCs/>
                <w:caps/>
                <w:spacing w:val="-2"/>
                <w:sz w:val="32"/>
                <w:szCs w:val="32"/>
              </w:rPr>
              <w:t>C</w:t>
            </w:r>
            <w:r>
              <w:rPr>
                <w:rStyle w:val="NoneB"/>
                <w:b/>
                <w:bCs/>
                <w:spacing w:val="-2"/>
                <w:sz w:val="32"/>
                <w:szCs w:val="32"/>
              </w:rPr>
              <w:t>ontinuing</w:t>
            </w:r>
            <w:r>
              <w:rPr>
                <w:rStyle w:val="NoneB"/>
                <w:b/>
                <w:bCs/>
                <w:caps/>
                <w:spacing w:val="-2"/>
                <w:sz w:val="32"/>
                <w:szCs w:val="32"/>
              </w:rPr>
              <w:t xml:space="preserve"> M</w:t>
            </w:r>
            <w:r>
              <w:rPr>
                <w:rStyle w:val="NoneB"/>
                <w:b/>
                <w:bCs/>
                <w:spacing w:val="-2"/>
                <w:sz w:val="32"/>
                <w:szCs w:val="32"/>
              </w:rPr>
              <w:t>edical</w:t>
            </w:r>
            <w:r>
              <w:rPr>
                <w:rStyle w:val="NoneB"/>
                <w:b/>
                <w:bCs/>
                <w:caps/>
                <w:spacing w:val="-2"/>
                <w:sz w:val="32"/>
                <w:szCs w:val="32"/>
              </w:rPr>
              <w:t xml:space="preserve"> E</w:t>
            </w:r>
            <w:r>
              <w:rPr>
                <w:rStyle w:val="NoneB"/>
                <w:b/>
                <w:bCs/>
                <w:spacing w:val="-2"/>
                <w:sz w:val="32"/>
                <w:szCs w:val="32"/>
              </w:rPr>
              <w:t>ducation</w:t>
            </w:r>
            <w:r>
              <w:rPr>
                <w:rStyle w:val="NoneB"/>
                <w:b/>
                <w:bCs/>
                <w:caps/>
                <w:spacing w:val="-2"/>
                <w:sz w:val="32"/>
                <w:szCs w:val="32"/>
              </w:rPr>
              <w:t xml:space="preserve"> </w:t>
            </w:r>
            <w:r>
              <w:rPr>
                <w:rStyle w:val="NoneB"/>
                <w:b/>
                <w:bCs/>
                <w:spacing w:val="-2"/>
                <w:sz w:val="32"/>
                <w:szCs w:val="32"/>
              </w:rPr>
              <w:t>in</w:t>
            </w:r>
            <w:r>
              <w:rPr>
                <w:rStyle w:val="NoneB"/>
                <w:b/>
                <w:bCs/>
                <w:caps/>
                <w:spacing w:val="-2"/>
                <w:sz w:val="32"/>
                <w:szCs w:val="32"/>
              </w:rPr>
              <w:t xml:space="preserve"> d</w:t>
            </w:r>
            <w:r>
              <w:rPr>
                <w:rStyle w:val="NoneB"/>
                <w:b/>
                <w:bCs/>
                <w:spacing w:val="-2"/>
                <w:sz w:val="32"/>
                <w:szCs w:val="32"/>
              </w:rPr>
              <w:t>entistry</w:t>
            </w:r>
          </w:p>
        </w:tc>
      </w:tr>
      <w:tr w:rsidR="00F55856" w14:paraId="1FC5B20B" w14:textId="77777777">
        <w:trPr>
          <w:trHeight w:hRule="exact" w:val="172"/>
        </w:trPr>
        <w:tc>
          <w:tcPr>
            <w:tcW w:w="8828" w:type="dxa"/>
            <w:tcBorders>
              <w:top w:val="single" w:sz="5" w:space="0" w:color="000000"/>
              <w:left w:val="single" w:sz="3" w:space="0" w:color="000000"/>
              <w:bottom w:val="single" w:sz="5" w:space="0" w:color="000000"/>
              <w:right w:val="single" w:sz="5" w:space="0" w:color="000000"/>
            </w:tcBorders>
            <w:shd w:val="clear" w:color="auto" w:fill="auto"/>
            <w:tcMar>
              <w:top w:w="80" w:type="dxa"/>
              <w:left w:w="80" w:type="dxa"/>
              <w:bottom w:w="80" w:type="dxa"/>
              <w:right w:w="80" w:type="dxa"/>
            </w:tcMar>
          </w:tcPr>
          <w:p w14:paraId="35D0A138" w14:textId="77777777" w:rsidR="00F55856" w:rsidRDefault="00F55856"/>
        </w:tc>
      </w:tr>
      <w:tr w:rsidR="00F55856" w:rsidRPr="00D31626" w14:paraId="5BCE45EC" w14:textId="77777777">
        <w:trPr>
          <w:trHeight w:hRule="exact" w:val="1114"/>
        </w:trPr>
        <w:tc>
          <w:tcPr>
            <w:tcW w:w="8828" w:type="dxa"/>
            <w:tcBorders>
              <w:top w:val="single" w:sz="5" w:space="0" w:color="000000"/>
              <w:left w:val="single" w:sz="3" w:space="0" w:color="000000"/>
              <w:bottom w:val="single" w:sz="5" w:space="0" w:color="000000"/>
              <w:right w:val="single" w:sz="5" w:space="0" w:color="000000"/>
            </w:tcBorders>
            <w:shd w:val="clear" w:color="auto" w:fill="DFDFDF"/>
            <w:tcMar>
              <w:top w:w="80" w:type="dxa"/>
              <w:left w:w="80" w:type="dxa"/>
              <w:bottom w:w="80" w:type="dxa"/>
              <w:right w:w="222" w:type="dxa"/>
            </w:tcMar>
            <w:vAlign w:val="center"/>
          </w:tcPr>
          <w:p w14:paraId="7E4C1B85" w14:textId="77777777" w:rsidR="00F55856" w:rsidRDefault="003E7C9F">
            <w:pPr>
              <w:pStyle w:val="BodyB"/>
              <w:ind w:right="142"/>
              <w:jc w:val="center"/>
              <w:rPr>
                <w:rStyle w:val="NoneB"/>
                <w:rFonts w:ascii="Arial" w:eastAsia="Arial" w:hAnsi="Arial" w:cs="Arial"/>
                <w:b/>
                <w:bCs/>
              </w:rPr>
            </w:pPr>
            <w:r>
              <w:rPr>
                <w:rStyle w:val="NoneA"/>
                <w:rFonts w:ascii="Arial" w:hAnsi="Arial"/>
                <w:b/>
                <w:bCs/>
              </w:rPr>
              <w:t xml:space="preserve">Submitted for adoption to the General Assembly: September 2018, </w:t>
            </w:r>
          </w:p>
          <w:p w14:paraId="48C8C11D" w14:textId="77777777" w:rsidR="00F55856" w:rsidRPr="00D31626" w:rsidRDefault="003E7C9F">
            <w:pPr>
              <w:pStyle w:val="BodyB"/>
              <w:ind w:right="142"/>
              <w:jc w:val="center"/>
              <w:rPr>
                <w:rStyle w:val="NoneB"/>
                <w:rFonts w:ascii="Arial" w:eastAsia="Arial" w:hAnsi="Arial" w:cs="Arial"/>
                <w:b/>
                <w:bCs/>
                <w:lang w:val="es-ES"/>
              </w:rPr>
            </w:pPr>
            <w:r>
              <w:rPr>
                <w:rStyle w:val="NoneB"/>
                <w:rFonts w:ascii="Arial" w:hAnsi="Arial"/>
                <w:b/>
                <w:bCs/>
                <w:lang w:val="es-ES_tradnl"/>
              </w:rPr>
              <w:t xml:space="preserve">Buenos Aires, Argentina  </w:t>
            </w:r>
          </w:p>
          <w:p w14:paraId="58A562DB" w14:textId="41C5D1A3" w:rsidR="00F55856" w:rsidRPr="00D31626" w:rsidRDefault="003E7C9F">
            <w:pPr>
              <w:pStyle w:val="BodyA"/>
              <w:widowControl w:val="0"/>
              <w:spacing w:after="0"/>
              <w:ind w:left="240" w:right="208"/>
              <w:jc w:val="center"/>
              <w:rPr>
                <w:lang w:val="es-ES"/>
              </w:rPr>
            </w:pPr>
            <w:r w:rsidRPr="00D31626">
              <w:rPr>
                <w:rStyle w:val="NoneB"/>
                <w:b/>
                <w:bCs/>
                <w:color w:val="ED7D31" w:themeColor="accent2"/>
                <w:spacing w:val="1"/>
                <w:sz w:val="28"/>
                <w:szCs w:val="28"/>
                <w:u w:color="FF0000"/>
                <w:lang w:val="es-ES_tradnl"/>
              </w:rPr>
              <w:t xml:space="preserve">Final Draft </w:t>
            </w:r>
            <w:r w:rsidR="00D31626" w:rsidRPr="00D31626">
              <w:rPr>
                <w:rStyle w:val="NoneB"/>
                <w:b/>
                <w:bCs/>
                <w:color w:val="ED7D31" w:themeColor="accent2"/>
                <w:spacing w:val="1"/>
                <w:sz w:val="28"/>
                <w:szCs w:val="28"/>
                <w:u w:color="FF0000"/>
                <w:lang w:val="es-ES_tradnl"/>
              </w:rPr>
              <w:t>2</w:t>
            </w:r>
          </w:p>
        </w:tc>
      </w:tr>
    </w:tbl>
    <w:p w14:paraId="135D4AD3" w14:textId="22CCC747" w:rsidR="00F55856" w:rsidRPr="00D31626" w:rsidRDefault="00D31626">
      <w:pPr>
        <w:pStyle w:val="Body"/>
        <w:widowControl w:val="0"/>
        <w:ind w:left="2" w:hanging="2"/>
        <w:rPr>
          <w:lang w:val="es-ES"/>
        </w:rPr>
      </w:pPr>
      <w:r>
        <w:rPr>
          <w:noProof/>
        </w:rPr>
        <w:drawing>
          <wp:anchor distT="0" distB="0" distL="0" distR="0" simplePos="0" relativeHeight="251659264" behindDoc="0" locked="0" layoutInCell="1" allowOverlap="1" wp14:anchorId="166291F0" wp14:editId="38BB0694">
            <wp:simplePos x="0" y="0"/>
            <wp:positionH relativeFrom="margin">
              <wp:posOffset>1986280</wp:posOffset>
            </wp:positionH>
            <wp:positionV relativeFrom="line">
              <wp:posOffset>-2670266</wp:posOffset>
            </wp:positionV>
            <wp:extent cx="1755775" cy="714375"/>
            <wp:effectExtent l="0" t="0" r="0" b="9525"/>
            <wp:wrapNone/>
            <wp:docPr id="1073741825" name="officeArt object" descr="FDI sans words"/>
            <wp:cNvGraphicFramePr/>
            <a:graphic xmlns:a="http://schemas.openxmlformats.org/drawingml/2006/main">
              <a:graphicData uri="http://schemas.openxmlformats.org/drawingml/2006/picture">
                <pic:pic xmlns:pic="http://schemas.openxmlformats.org/drawingml/2006/picture">
                  <pic:nvPicPr>
                    <pic:cNvPr id="1073741825" name="image1.jpeg" descr="FDI sans words"/>
                    <pic:cNvPicPr>
                      <a:picLocks noChangeAspect="1"/>
                    </pic:cNvPicPr>
                  </pic:nvPicPr>
                  <pic:blipFill>
                    <a:blip r:embed="rId7">
                      <a:extLst/>
                    </a:blip>
                    <a:stretch>
                      <a:fillRect/>
                    </a:stretch>
                  </pic:blipFill>
                  <pic:spPr>
                    <a:xfrm>
                      <a:off x="0" y="0"/>
                      <a:ext cx="1755775" cy="714375"/>
                    </a:xfrm>
                    <a:prstGeom prst="rect">
                      <a:avLst/>
                    </a:prstGeom>
                    <a:ln w="12700" cap="flat">
                      <a:noFill/>
                      <a:miter lim="400000"/>
                    </a:ln>
                    <a:effectLst/>
                  </pic:spPr>
                </pic:pic>
              </a:graphicData>
            </a:graphic>
          </wp:anchor>
        </w:drawing>
      </w:r>
    </w:p>
    <w:p w14:paraId="7D0C3D31" w14:textId="77777777" w:rsidR="00F55856" w:rsidRPr="00D31626" w:rsidRDefault="00F55856">
      <w:pPr>
        <w:pStyle w:val="BodyC"/>
        <w:widowControl w:val="0"/>
        <w:ind w:left="2" w:hanging="2"/>
        <w:rPr>
          <w:lang w:val="es-ES"/>
        </w:rPr>
      </w:pPr>
    </w:p>
    <w:p w14:paraId="59947803" w14:textId="1761ECF9" w:rsidR="00F55856" w:rsidRDefault="003E7C9F">
      <w:pPr>
        <w:pStyle w:val="BodyA"/>
        <w:widowControl w:val="0"/>
        <w:spacing w:after="0" w:line="360" w:lineRule="auto"/>
        <w:ind w:left="144" w:right="144"/>
      </w:pPr>
      <w:r>
        <w:rPr>
          <w:rStyle w:val="NoneB"/>
          <w:b/>
          <w:bCs/>
        </w:rPr>
        <w:t>CONTEXT</w:t>
      </w:r>
    </w:p>
    <w:p w14:paraId="2FCCE4A1" w14:textId="77777777" w:rsidR="00F55856" w:rsidRDefault="003E7C9F">
      <w:pPr>
        <w:pStyle w:val="BodyA"/>
        <w:spacing w:after="0"/>
        <w:ind w:left="142"/>
      </w:pPr>
      <w:r>
        <w:rPr>
          <w:rStyle w:val="NoneB"/>
        </w:rPr>
        <w:t xml:space="preserve">Oral health is an integral component of general health. Dentists play an important role in maintaining the overall well-being of their patients, as underlined in the FDI Istanbul Declaration. Today’s oral health professionals should be described as ‘front-line’ medical professionals in prevention, early detection, and monitoring of both oral and systemic diseases, thus enabling them to be more involved in assessing and ensuring their patients' overall health. </w:t>
      </w:r>
    </w:p>
    <w:p w14:paraId="626BD0A6" w14:textId="77777777" w:rsidR="00F55856" w:rsidRDefault="00F55856">
      <w:pPr>
        <w:pStyle w:val="BodyA"/>
        <w:spacing w:after="0"/>
        <w:ind w:left="142"/>
      </w:pPr>
    </w:p>
    <w:p w14:paraId="5D305A2D" w14:textId="77777777" w:rsidR="00F55856" w:rsidRDefault="003E7C9F">
      <w:pPr>
        <w:pStyle w:val="BodyA"/>
        <w:spacing w:after="0"/>
        <w:ind w:left="142"/>
      </w:pPr>
      <w:r>
        <w:rPr>
          <w:rStyle w:val="NoneB"/>
        </w:rPr>
        <w:t>Dentistry is a unique profession that contributes to improving patients’ overall health. In addition to maintaining their patients’ oral health, oral health professionals (</w:t>
      </w:r>
      <w:r w:rsidR="00E87FF0">
        <w:rPr>
          <w:rStyle w:val="NoneB"/>
        </w:rPr>
        <w:t>d</w:t>
      </w:r>
      <w:r>
        <w:rPr>
          <w:rStyle w:val="NoneB"/>
        </w:rPr>
        <w:t xml:space="preserve">entists as oral health physicians) can take on additional tasks, such as screening for and monitoring non-communicable diseases and educating their patients about the importance of disease prevention, early screening and monitoring.  </w:t>
      </w:r>
    </w:p>
    <w:p w14:paraId="23006371" w14:textId="5C350DE7" w:rsidR="00F55856" w:rsidRDefault="00F55856">
      <w:pPr>
        <w:pStyle w:val="BodyA"/>
        <w:widowControl w:val="0"/>
        <w:spacing w:after="0"/>
        <w:ind w:left="142" w:right="142"/>
      </w:pPr>
    </w:p>
    <w:p w14:paraId="60F39986" w14:textId="77777777" w:rsidR="00F55856" w:rsidRDefault="003E7C9F">
      <w:pPr>
        <w:pStyle w:val="BodyA"/>
        <w:widowControl w:val="0"/>
        <w:spacing w:after="0"/>
        <w:ind w:left="144" w:right="144"/>
      </w:pPr>
      <w:r>
        <w:rPr>
          <w:rStyle w:val="NoneB"/>
          <w:b/>
          <w:bCs/>
        </w:rPr>
        <w:t>SCOPE</w:t>
      </w:r>
      <w:r>
        <w:rPr>
          <w:rStyle w:val="NoneB"/>
          <w:rFonts w:ascii="Arial Unicode MS" w:hAnsi="Arial Unicode MS"/>
        </w:rPr>
        <w:br/>
      </w:r>
      <w:r>
        <w:rPr>
          <w:rStyle w:val="NoneB"/>
        </w:rPr>
        <w:t xml:space="preserve">Dental education should be based on scientific rationale and evidence that is in line with contemporary dentistry. It should incorporate medical advances from outside dental practice, with an emphasis on clinical applications, by focusing on health promotion, prevention of common risk factors, and early screening and referral when indicated. The dental education system should also help with regular monitoring or surveillance of the most common diseases prevalent in community practice. </w:t>
      </w:r>
    </w:p>
    <w:p w14:paraId="7C55A1B6" w14:textId="77777777" w:rsidR="00F55856" w:rsidRDefault="00F55856">
      <w:pPr>
        <w:pStyle w:val="BodyA"/>
        <w:widowControl w:val="0"/>
        <w:spacing w:after="0"/>
        <w:ind w:left="142" w:right="142"/>
      </w:pPr>
    </w:p>
    <w:p w14:paraId="7C29C2DE" w14:textId="77777777" w:rsidR="00F55856" w:rsidRDefault="003E7C9F">
      <w:pPr>
        <w:pStyle w:val="BodyA"/>
        <w:widowControl w:val="0"/>
        <w:spacing w:after="0"/>
        <w:ind w:left="142" w:right="142"/>
      </w:pPr>
      <w:r>
        <w:rPr>
          <w:rStyle w:val="NoneB"/>
        </w:rPr>
        <w:t xml:space="preserve">Lifelong learning is needed for continued competence and proficiency. Access to Continuing Medical Education (CME) in dentistry is vital to enable oral health professionals to review and upgrade their clinical experience and competency. </w:t>
      </w:r>
    </w:p>
    <w:p w14:paraId="6925B34F" w14:textId="77777777" w:rsidR="00F55856" w:rsidRDefault="00F55856">
      <w:pPr>
        <w:pStyle w:val="BodyA"/>
        <w:widowControl w:val="0"/>
        <w:spacing w:after="0"/>
        <w:ind w:left="142" w:right="142"/>
      </w:pPr>
    </w:p>
    <w:p w14:paraId="665CD6DB" w14:textId="77777777" w:rsidR="00F55856" w:rsidRDefault="003E7C9F">
      <w:pPr>
        <w:pStyle w:val="BodyA"/>
        <w:widowControl w:val="0"/>
        <w:spacing w:after="0" w:line="360" w:lineRule="auto"/>
        <w:ind w:left="144" w:right="144"/>
      </w:pPr>
      <w:r>
        <w:rPr>
          <w:rStyle w:val="NoneB"/>
          <w:b/>
          <w:bCs/>
        </w:rPr>
        <w:t>DEFINITIONS</w:t>
      </w:r>
    </w:p>
    <w:p w14:paraId="12AB84C0" w14:textId="77777777" w:rsidR="00F55856" w:rsidRDefault="00E87FF0">
      <w:pPr>
        <w:pStyle w:val="BodyA"/>
        <w:widowControl w:val="0"/>
        <w:spacing w:after="0"/>
        <w:ind w:left="142" w:right="142"/>
      </w:pPr>
      <w:r>
        <w:rPr>
          <w:rStyle w:val="NoneB"/>
        </w:rPr>
        <w:t>CME</w:t>
      </w:r>
      <w:r w:rsidR="003E7C9F">
        <w:rPr>
          <w:rStyle w:val="NoneB"/>
        </w:rPr>
        <w:t xml:space="preserve"> in dentistry seeks to fulfil the principle of integrating oral health and general health by bridging the gap between dentistry and medicine. It is essential for oral health professionals to have the knowledge and competencies to address broader issues and tasks in medical care, including acting on the social determinants of health to contribute to their patients’ quality of life.</w:t>
      </w:r>
    </w:p>
    <w:p w14:paraId="59107085" w14:textId="77777777" w:rsidR="00F55856" w:rsidRDefault="00F55856">
      <w:pPr>
        <w:pStyle w:val="BodyA"/>
        <w:widowControl w:val="0"/>
        <w:spacing w:after="0"/>
        <w:ind w:left="142" w:right="142"/>
      </w:pPr>
    </w:p>
    <w:p w14:paraId="66B9960D" w14:textId="77777777" w:rsidR="00F55856" w:rsidRDefault="003E7C9F">
      <w:pPr>
        <w:pStyle w:val="BodyA"/>
        <w:widowControl w:val="0"/>
        <w:spacing w:after="0" w:line="360" w:lineRule="auto"/>
        <w:ind w:left="144" w:right="144"/>
      </w:pPr>
      <w:r>
        <w:rPr>
          <w:rStyle w:val="NoneB"/>
          <w:b/>
          <w:bCs/>
        </w:rPr>
        <w:t>PRINCIPLES</w:t>
      </w:r>
    </w:p>
    <w:p w14:paraId="78BE5499" w14:textId="77777777" w:rsidR="00F55856" w:rsidRDefault="003E7C9F">
      <w:pPr>
        <w:pStyle w:val="BodyA"/>
        <w:spacing w:after="0"/>
        <w:ind w:left="142"/>
      </w:pPr>
      <w:r>
        <w:rPr>
          <w:rStyle w:val="NoneB"/>
        </w:rPr>
        <w:lastRenderedPageBreak/>
        <w:t xml:space="preserve">The primary aim of CME in dentistry should be to ensure that practitioners can perform dentistry based on scientific evidence to deliver optimum healthcare. This can be done by addressing the needs for continuing development according to new trends in medicine, dentistry and epidemiology. It should take into consideration the general health needs of the patient by providing broader medical knowledge and enhanced skills and competencies related to dental sciences. </w:t>
      </w:r>
    </w:p>
    <w:p w14:paraId="4AC72B95" w14:textId="77777777" w:rsidR="00F55856" w:rsidRDefault="00F55856">
      <w:pPr>
        <w:pStyle w:val="BodyA"/>
        <w:widowControl w:val="0"/>
        <w:spacing w:after="0"/>
        <w:ind w:left="142" w:right="142"/>
      </w:pPr>
    </w:p>
    <w:p w14:paraId="55DFD9B4" w14:textId="77777777" w:rsidR="00F55856" w:rsidRDefault="003E7C9F">
      <w:pPr>
        <w:pStyle w:val="BodyA"/>
        <w:widowControl w:val="0"/>
        <w:spacing w:after="0" w:line="360" w:lineRule="auto"/>
        <w:ind w:left="144" w:right="144"/>
      </w:pPr>
      <w:r>
        <w:rPr>
          <w:rStyle w:val="NoneB"/>
          <w:b/>
          <w:bCs/>
        </w:rPr>
        <w:t>POLICY</w:t>
      </w:r>
    </w:p>
    <w:p w14:paraId="7CA9E500" w14:textId="77777777" w:rsidR="00F55856" w:rsidRDefault="003E7C9F">
      <w:pPr>
        <w:pStyle w:val="Default"/>
        <w:ind w:left="142"/>
      </w:pPr>
      <w:r>
        <w:rPr>
          <w:rStyle w:val="NoneB"/>
          <w:rFonts w:ascii="Arial" w:hAnsi="Arial"/>
          <w:sz w:val="24"/>
          <w:szCs w:val="24"/>
        </w:rPr>
        <w:t xml:space="preserve">FDI calls on </w:t>
      </w:r>
      <w:r>
        <w:rPr>
          <w:rStyle w:val="NoneB"/>
          <w:rFonts w:ascii="Arial" w:hAnsi="Arial"/>
          <w:sz w:val="24"/>
          <w:szCs w:val="24"/>
          <w:u w:color="FF0000"/>
        </w:rPr>
        <w:t>National Dental Associations to highlight that:</w:t>
      </w:r>
    </w:p>
    <w:p w14:paraId="1CC33EEB" w14:textId="77777777" w:rsidR="00F55856" w:rsidRDefault="00F55856">
      <w:pPr>
        <w:pStyle w:val="Default"/>
        <w:ind w:left="142"/>
      </w:pPr>
    </w:p>
    <w:p w14:paraId="0951720D" w14:textId="77777777" w:rsidR="00F55856" w:rsidRDefault="00E87FF0">
      <w:pPr>
        <w:pStyle w:val="Default"/>
        <w:numPr>
          <w:ilvl w:val="0"/>
          <w:numId w:val="2"/>
        </w:numPr>
      </w:pPr>
      <w:r>
        <w:rPr>
          <w:rStyle w:val="NoneB"/>
          <w:rFonts w:ascii="Arial" w:hAnsi="Arial"/>
        </w:rPr>
        <w:t>o</w:t>
      </w:r>
      <w:r w:rsidR="003E7C9F">
        <w:rPr>
          <w:rStyle w:val="NoneB"/>
          <w:rFonts w:ascii="Arial" w:hAnsi="Arial"/>
        </w:rPr>
        <w:t xml:space="preserve">ral health is an integral component of general health, and the role of dental practitioners is not only limited to maintaining the oral health of their patients, but also includes promoting their overall health. </w:t>
      </w:r>
    </w:p>
    <w:p w14:paraId="14910470" w14:textId="77777777" w:rsidR="00F55856" w:rsidRDefault="00E87FF0">
      <w:pPr>
        <w:pStyle w:val="Default"/>
        <w:numPr>
          <w:ilvl w:val="0"/>
          <w:numId w:val="3"/>
        </w:numPr>
        <w:rPr>
          <w:rFonts w:ascii="Arial" w:hAnsi="Arial"/>
          <w:sz w:val="24"/>
          <w:szCs w:val="24"/>
        </w:rPr>
      </w:pPr>
      <w:r>
        <w:rPr>
          <w:rStyle w:val="NoneB"/>
          <w:rFonts w:ascii="Arial" w:hAnsi="Arial"/>
          <w:sz w:val="24"/>
          <w:szCs w:val="24"/>
        </w:rPr>
        <w:t>o</w:t>
      </w:r>
      <w:r w:rsidR="003E7C9F">
        <w:rPr>
          <w:rStyle w:val="NoneB"/>
          <w:rFonts w:ascii="Arial" w:hAnsi="Arial"/>
          <w:sz w:val="24"/>
          <w:szCs w:val="24"/>
        </w:rPr>
        <w:t>ral health professionals can significantly contribute to improving their patients’ o</w:t>
      </w:r>
      <w:bookmarkStart w:id="0" w:name="_GoBack"/>
      <w:bookmarkEnd w:id="0"/>
      <w:r w:rsidR="003E7C9F">
        <w:rPr>
          <w:rStyle w:val="NoneB"/>
          <w:rFonts w:ascii="Arial" w:hAnsi="Arial"/>
          <w:sz w:val="24"/>
          <w:szCs w:val="24"/>
        </w:rPr>
        <w:t>verall health by taking on additional tasks, such as screening for and monitoring non-communicable diseases.</w:t>
      </w:r>
    </w:p>
    <w:p w14:paraId="1A63FA82" w14:textId="77777777" w:rsidR="00F55856" w:rsidRDefault="00E87FF0">
      <w:pPr>
        <w:pStyle w:val="Default"/>
        <w:numPr>
          <w:ilvl w:val="0"/>
          <w:numId w:val="3"/>
        </w:numPr>
        <w:rPr>
          <w:rFonts w:ascii="Arial" w:hAnsi="Arial"/>
          <w:sz w:val="24"/>
          <w:szCs w:val="24"/>
        </w:rPr>
      </w:pPr>
      <w:r>
        <w:rPr>
          <w:rStyle w:val="NoneB"/>
          <w:rFonts w:ascii="Arial" w:hAnsi="Arial"/>
          <w:sz w:val="24"/>
          <w:szCs w:val="24"/>
        </w:rPr>
        <w:t>d</w:t>
      </w:r>
      <w:r w:rsidR="003E7C9F">
        <w:rPr>
          <w:rStyle w:val="NoneB"/>
          <w:rFonts w:ascii="Arial" w:hAnsi="Arial"/>
          <w:sz w:val="24"/>
          <w:szCs w:val="24"/>
        </w:rPr>
        <w:t xml:space="preserve">ental education must include sufficient medical knowledge to fulfil the tasks required. </w:t>
      </w:r>
    </w:p>
    <w:p w14:paraId="088DFB16" w14:textId="77777777" w:rsidR="00F55856" w:rsidRDefault="003E7C9F">
      <w:pPr>
        <w:pStyle w:val="Default"/>
        <w:tabs>
          <w:tab w:val="left" w:pos="360"/>
        </w:tabs>
        <w:ind w:left="142"/>
      </w:pPr>
      <w:r>
        <w:rPr>
          <w:rStyle w:val="NoneB"/>
          <w:rFonts w:ascii="Arial Unicode MS" w:eastAsia="Arial Unicode MS" w:hAnsi="Arial Unicode MS" w:cs="Arial Unicode MS"/>
          <w:sz w:val="24"/>
          <w:szCs w:val="24"/>
        </w:rPr>
        <w:br/>
      </w:r>
      <w:proofErr w:type="gramStart"/>
      <w:r>
        <w:rPr>
          <w:rStyle w:val="NoneB"/>
          <w:rFonts w:ascii="Arial" w:hAnsi="Arial"/>
          <w:sz w:val="24"/>
          <w:szCs w:val="24"/>
        </w:rPr>
        <w:t>In light of</w:t>
      </w:r>
      <w:proofErr w:type="gramEnd"/>
      <w:r>
        <w:rPr>
          <w:rStyle w:val="NoneB"/>
          <w:rFonts w:ascii="Arial" w:hAnsi="Arial"/>
          <w:sz w:val="24"/>
          <w:szCs w:val="24"/>
        </w:rPr>
        <w:t xml:space="preserve"> the enlarged scope of the profession, FDI recommends that:</w:t>
      </w:r>
    </w:p>
    <w:p w14:paraId="49E634C3" w14:textId="77777777" w:rsidR="00F55856" w:rsidRDefault="00F55856">
      <w:pPr>
        <w:pStyle w:val="Default"/>
        <w:tabs>
          <w:tab w:val="left" w:pos="360"/>
        </w:tabs>
        <w:ind w:left="142"/>
      </w:pPr>
    </w:p>
    <w:p w14:paraId="1F82F868" w14:textId="77777777" w:rsidR="00F55856" w:rsidRDefault="003E7C9F">
      <w:pPr>
        <w:pStyle w:val="Default"/>
        <w:numPr>
          <w:ilvl w:val="0"/>
          <w:numId w:val="5"/>
        </w:numPr>
        <w:rPr>
          <w:rFonts w:ascii="Arial" w:hAnsi="Arial"/>
          <w:sz w:val="24"/>
          <w:szCs w:val="24"/>
        </w:rPr>
      </w:pPr>
      <w:r>
        <w:rPr>
          <w:rStyle w:val="NoneB"/>
          <w:rFonts w:ascii="Arial" w:hAnsi="Arial"/>
          <w:sz w:val="24"/>
          <w:szCs w:val="24"/>
        </w:rPr>
        <w:t xml:space="preserve">national dental curricula (under- and post-graduate, including specialization) be reviewed to deepen the inclusion of medical sciences in dental education, by including medical topics and allowing practicing dentists to integrate and upgrade their clinical experience and competencies in medical fields; </w:t>
      </w:r>
    </w:p>
    <w:p w14:paraId="7E805FE8" w14:textId="77777777" w:rsidR="00F55856" w:rsidRDefault="003E7C9F">
      <w:pPr>
        <w:pStyle w:val="Default"/>
        <w:numPr>
          <w:ilvl w:val="0"/>
          <w:numId w:val="5"/>
        </w:numPr>
        <w:rPr>
          <w:sz w:val="24"/>
          <w:szCs w:val="24"/>
        </w:rPr>
      </w:pPr>
      <w:r>
        <w:rPr>
          <w:rStyle w:val="NoneB"/>
          <w:rFonts w:ascii="Arial" w:hAnsi="Arial"/>
          <w:sz w:val="24"/>
          <w:szCs w:val="24"/>
        </w:rPr>
        <w:t xml:space="preserve">a special CME with a focus on local epidemiology of communicable and non-communicable diseases be prepared for </w:t>
      </w:r>
      <w:r>
        <w:rPr>
          <w:rStyle w:val="NoneB"/>
          <w:rFonts w:ascii="Arial" w:hAnsi="Arial"/>
          <w:sz w:val="24"/>
          <w:szCs w:val="24"/>
          <w:u w:color="FF0000"/>
        </w:rPr>
        <w:t>National Dental Associations</w:t>
      </w:r>
      <w:r>
        <w:rPr>
          <w:rStyle w:val="NoneB"/>
          <w:rFonts w:ascii="Arial" w:hAnsi="Arial"/>
          <w:sz w:val="24"/>
          <w:szCs w:val="24"/>
        </w:rPr>
        <w:t>, mainly when outbreaks or unusual patterns emerge;</w:t>
      </w:r>
      <w:r>
        <w:rPr>
          <w:rStyle w:val="NoneB"/>
        </w:rPr>
        <w:t xml:space="preserve"> </w:t>
      </w:r>
    </w:p>
    <w:p w14:paraId="1DEC34FB" w14:textId="77777777" w:rsidR="00F55856" w:rsidRDefault="003E7C9F">
      <w:pPr>
        <w:pStyle w:val="Default"/>
        <w:numPr>
          <w:ilvl w:val="0"/>
          <w:numId w:val="5"/>
        </w:numPr>
        <w:rPr>
          <w:rFonts w:ascii="Arial" w:hAnsi="Arial"/>
          <w:sz w:val="24"/>
          <w:szCs w:val="24"/>
        </w:rPr>
      </w:pPr>
      <w:r>
        <w:rPr>
          <w:rStyle w:val="NoneB"/>
          <w:rFonts w:ascii="Arial" w:hAnsi="Arial"/>
          <w:sz w:val="24"/>
          <w:szCs w:val="24"/>
        </w:rPr>
        <w:t xml:space="preserve">collaboration with national medical associations be strengthened and joint educational </w:t>
      </w:r>
      <w:proofErr w:type="spellStart"/>
      <w:r>
        <w:rPr>
          <w:rStyle w:val="NoneB"/>
          <w:rFonts w:ascii="Arial" w:hAnsi="Arial"/>
          <w:sz w:val="24"/>
          <w:szCs w:val="24"/>
        </w:rPr>
        <w:t>programmes</w:t>
      </w:r>
      <w:proofErr w:type="spellEnd"/>
      <w:r>
        <w:rPr>
          <w:rStyle w:val="NoneB"/>
          <w:rFonts w:ascii="Arial" w:hAnsi="Arial"/>
          <w:sz w:val="24"/>
          <w:szCs w:val="24"/>
        </w:rPr>
        <w:t xml:space="preserve"> be developed. </w:t>
      </w:r>
      <w:r>
        <w:rPr>
          <w:rStyle w:val="NoneB"/>
          <w:rFonts w:ascii="Arial Unicode MS" w:eastAsia="Arial Unicode MS" w:hAnsi="Arial Unicode MS" w:cs="Arial Unicode MS"/>
          <w:sz w:val="24"/>
          <w:szCs w:val="24"/>
        </w:rPr>
        <w:br/>
      </w:r>
    </w:p>
    <w:p w14:paraId="09B931AA" w14:textId="77777777" w:rsidR="00F55856" w:rsidRDefault="003E7C9F">
      <w:pPr>
        <w:pStyle w:val="Default"/>
        <w:ind w:left="142"/>
      </w:pPr>
      <w:r>
        <w:rPr>
          <w:rStyle w:val="NoneB"/>
          <w:rFonts w:ascii="Arial" w:hAnsi="Arial"/>
          <w:sz w:val="24"/>
          <w:szCs w:val="24"/>
        </w:rPr>
        <w:t>This statement should be read in conjunction with FDI’s Policy Statements on Basic Dental Education and Continuing Dental Education, along with the supporting references.</w:t>
      </w:r>
    </w:p>
    <w:p w14:paraId="20B30E3E" w14:textId="77777777" w:rsidR="00F55856" w:rsidRDefault="00F55856">
      <w:pPr>
        <w:pStyle w:val="BodyA"/>
        <w:widowControl w:val="0"/>
        <w:spacing w:after="0"/>
        <w:ind w:left="142" w:right="142"/>
      </w:pPr>
    </w:p>
    <w:p w14:paraId="10361EF1" w14:textId="77777777" w:rsidR="00F55856" w:rsidRDefault="003E7C9F">
      <w:pPr>
        <w:pStyle w:val="BodyA"/>
        <w:widowControl w:val="0"/>
        <w:spacing w:after="0" w:line="360" w:lineRule="auto"/>
        <w:ind w:left="144" w:right="144"/>
      </w:pPr>
      <w:r>
        <w:rPr>
          <w:rStyle w:val="NoneB"/>
          <w:b/>
          <w:bCs/>
        </w:rPr>
        <w:t>KEYWORDS</w:t>
      </w:r>
    </w:p>
    <w:p w14:paraId="074DC2CB" w14:textId="77777777" w:rsidR="00F55856" w:rsidRDefault="003E7C9F">
      <w:pPr>
        <w:pStyle w:val="BodyA"/>
        <w:widowControl w:val="0"/>
        <w:spacing w:after="0"/>
        <w:ind w:left="142" w:right="142"/>
      </w:pPr>
      <w:r>
        <w:rPr>
          <w:rStyle w:val="NoneB"/>
        </w:rPr>
        <w:t>Continuing education, continuing medical education, dentistry, medicine</w:t>
      </w:r>
    </w:p>
    <w:p w14:paraId="4D36A4E9" w14:textId="77777777" w:rsidR="00F55856" w:rsidRDefault="00F55856">
      <w:pPr>
        <w:pStyle w:val="BodyA"/>
        <w:widowControl w:val="0"/>
        <w:spacing w:after="0"/>
        <w:ind w:left="142" w:right="142"/>
      </w:pPr>
    </w:p>
    <w:p w14:paraId="44615D34" w14:textId="77777777" w:rsidR="00F55856" w:rsidRDefault="003E7C9F">
      <w:pPr>
        <w:pStyle w:val="BodyA"/>
        <w:widowControl w:val="0"/>
        <w:spacing w:after="0" w:line="360" w:lineRule="auto"/>
        <w:ind w:left="144" w:right="144"/>
      </w:pPr>
      <w:r>
        <w:rPr>
          <w:rStyle w:val="NoneB"/>
          <w:b/>
          <w:bCs/>
        </w:rPr>
        <w:t>DISCLAIMER</w:t>
      </w:r>
    </w:p>
    <w:p w14:paraId="66417692" w14:textId="77777777" w:rsidR="00F55856" w:rsidRDefault="003E7C9F">
      <w:pPr>
        <w:pStyle w:val="BodyA"/>
        <w:widowControl w:val="0"/>
        <w:spacing w:after="0"/>
        <w:ind w:left="142" w:right="142"/>
      </w:pPr>
      <w:r>
        <w:rPr>
          <w:rStyle w:val="NoneB"/>
        </w:rPr>
        <w:t xml:space="preserve">The information in this Policy Statement was based on the best scientific evidence available at the time. It may be interpreted to reflect prevailing cultural sensitivities and socio-economic constraints. </w:t>
      </w:r>
    </w:p>
    <w:p w14:paraId="786EA158" w14:textId="77777777" w:rsidR="00F55856" w:rsidRDefault="00F55856">
      <w:pPr>
        <w:pStyle w:val="BodyA"/>
        <w:widowControl w:val="0"/>
        <w:ind w:left="142" w:right="142"/>
      </w:pPr>
    </w:p>
    <w:p w14:paraId="473092CC" w14:textId="77777777" w:rsidR="00F55856" w:rsidRDefault="003E7C9F">
      <w:pPr>
        <w:pStyle w:val="BodyA"/>
        <w:widowControl w:val="0"/>
        <w:spacing w:line="360" w:lineRule="auto"/>
        <w:ind w:left="144" w:right="144"/>
      </w:pPr>
      <w:r>
        <w:rPr>
          <w:rStyle w:val="NoneB"/>
          <w:b/>
          <w:bCs/>
        </w:rPr>
        <w:t>REFERENCES</w:t>
      </w:r>
    </w:p>
    <w:p w14:paraId="2D7C7041" w14:textId="09F90743" w:rsidR="00F55856" w:rsidRPr="00D31626" w:rsidRDefault="003E7C9F" w:rsidP="00D31626">
      <w:pPr>
        <w:pStyle w:val="BodyA"/>
        <w:widowControl w:val="0"/>
        <w:numPr>
          <w:ilvl w:val="0"/>
          <w:numId w:val="9"/>
        </w:numPr>
        <w:spacing w:after="0"/>
        <w:ind w:right="142"/>
        <w:rPr>
          <w:rStyle w:val="NoneB"/>
        </w:rPr>
      </w:pPr>
      <w:r w:rsidRPr="00D31626">
        <w:rPr>
          <w:rStyle w:val="NoneB"/>
        </w:rPr>
        <w:t>Glick M et al. A new definition for oral health developed by the FDI World Dental Federation opens the door to a universal definition of oral health. Int Dent J 2016 66: 322–324.</w:t>
      </w:r>
    </w:p>
    <w:p w14:paraId="19EB46C8" w14:textId="77777777" w:rsidR="00F55856" w:rsidRPr="00D31626" w:rsidRDefault="003E7C9F" w:rsidP="00D31626">
      <w:pPr>
        <w:pStyle w:val="BodyA"/>
        <w:widowControl w:val="0"/>
        <w:numPr>
          <w:ilvl w:val="0"/>
          <w:numId w:val="9"/>
        </w:numPr>
        <w:spacing w:after="0"/>
        <w:ind w:right="142"/>
        <w:rPr>
          <w:rStyle w:val="NoneB"/>
        </w:rPr>
      </w:pPr>
      <w:r w:rsidRPr="00D31626">
        <w:rPr>
          <w:rStyle w:val="NoneB"/>
        </w:rPr>
        <w:lastRenderedPageBreak/>
        <w:t xml:space="preserve">Statement on the continuing medical education of FDI World Dental Federation Available from: </w:t>
      </w:r>
      <w:hyperlink r:id="rId8" w:history="1">
        <w:r w:rsidRPr="00D31626">
          <w:rPr>
            <w:rStyle w:val="NoneB"/>
          </w:rPr>
          <w:t>http://www.erodental.org/ddc/ddid816</w:t>
        </w:r>
      </w:hyperlink>
      <w:r w:rsidRPr="00D31626">
        <w:rPr>
          <w:rStyle w:val="NoneB"/>
        </w:rPr>
        <w:t>.</w:t>
      </w:r>
    </w:p>
    <w:p w14:paraId="72071FF9" w14:textId="77777777" w:rsidR="00F55856" w:rsidRPr="00D31626" w:rsidRDefault="003E7C9F" w:rsidP="00D31626">
      <w:pPr>
        <w:pStyle w:val="BodyA"/>
        <w:widowControl w:val="0"/>
        <w:numPr>
          <w:ilvl w:val="0"/>
          <w:numId w:val="9"/>
        </w:numPr>
        <w:spacing w:after="0"/>
        <w:ind w:right="142"/>
        <w:rPr>
          <w:rStyle w:val="NoneB"/>
        </w:rPr>
      </w:pPr>
      <w:r w:rsidRPr="00D31626">
        <w:rPr>
          <w:rStyle w:val="NoneB"/>
        </w:rPr>
        <w:t xml:space="preserve">Istanbul Declaration. FDI World Dental Federation, 2013. Available from: </w:t>
      </w:r>
      <w:hyperlink r:id="rId9" w:history="1">
        <w:r w:rsidRPr="00D31626">
          <w:rPr>
            <w:rStyle w:val="NoneB"/>
          </w:rPr>
          <w:t>http://www.fdiworldental.org/publications/declarations/istanbul-declaration</w:t>
        </w:r>
      </w:hyperlink>
      <w:r w:rsidRPr="00D31626">
        <w:rPr>
          <w:rStyle w:val="NoneB"/>
        </w:rPr>
        <w:t>.</w:t>
      </w:r>
    </w:p>
    <w:sectPr w:rsidR="00F55856" w:rsidRPr="00D31626" w:rsidSect="00D31626">
      <w:headerReference w:type="default" r:id="rId10"/>
      <w:footerReference w:type="default" r:id="rId11"/>
      <w:pgSz w:w="11900" w:h="16840"/>
      <w:pgMar w:top="1440" w:right="1440" w:bottom="1440" w:left="1440" w:header="708" w:footer="708"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2F754" w14:textId="77777777" w:rsidR="00EA4D9A" w:rsidRDefault="00EA4D9A">
      <w:r>
        <w:separator/>
      </w:r>
    </w:p>
  </w:endnote>
  <w:endnote w:type="continuationSeparator" w:id="0">
    <w:p w14:paraId="0E6F8396" w14:textId="77777777" w:rsidR="00EA4D9A" w:rsidRDefault="00EA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497E9" w14:textId="77777777" w:rsidR="00F55856" w:rsidRDefault="00F5585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1579" w14:textId="77777777" w:rsidR="00EA4D9A" w:rsidRDefault="00EA4D9A">
      <w:r>
        <w:separator/>
      </w:r>
    </w:p>
  </w:footnote>
  <w:footnote w:type="continuationSeparator" w:id="0">
    <w:p w14:paraId="48E383F1" w14:textId="77777777" w:rsidR="00EA4D9A" w:rsidRDefault="00EA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4704" w14:textId="77777777" w:rsidR="00F55856" w:rsidRDefault="00F5585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538B2"/>
    <w:multiLevelType w:val="hybridMultilevel"/>
    <w:tmpl w:val="68EA52BE"/>
    <w:styleLink w:val="ImportedStyle2"/>
    <w:lvl w:ilvl="0" w:tplc="9A34607C">
      <w:start w:val="1"/>
      <w:numFmt w:val="bullet"/>
      <w:lvlText w:val="•"/>
      <w:lvlJc w:val="left"/>
      <w:pPr>
        <w:tabs>
          <w:tab w:val="left" w:pos="360"/>
        </w:tabs>
        <w:ind w:left="83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A491B6">
      <w:start w:val="1"/>
      <w:numFmt w:val="bullet"/>
      <w:lvlText w:val="o"/>
      <w:lvlJc w:val="left"/>
      <w:pPr>
        <w:tabs>
          <w:tab w:val="left" w:pos="360"/>
        </w:tabs>
        <w:ind w:left="155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56E11E">
      <w:start w:val="1"/>
      <w:numFmt w:val="bullet"/>
      <w:lvlText w:val="▪"/>
      <w:lvlJc w:val="left"/>
      <w:pPr>
        <w:tabs>
          <w:tab w:val="left" w:pos="360"/>
        </w:tabs>
        <w:ind w:left="227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0836B2">
      <w:start w:val="1"/>
      <w:numFmt w:val="bullet"/>
      <w:lvlText w:val="•"/>
      <w:lvlJc w:val="left"/>
      <w:pPr>
        <w:tabs>
          <w:tab w:val="left" w:pos="360"/>
        </w:tabs>
        <w:ind w:left="299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95404B8">
      <w:start w:val="1"/>
      <w:numFmt w:val="bullet"/>
      <w:lvlText w:val="o"/>
      <w:lvlJc w:val="left"/>
      <w:pPr>
        <w:tabs>
          <w:tab w:val="left" w:pos="360"/>
        </w:tabs>
        <w:ind w:left="371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58B34C">
      <w:start w:val="1"/>
      <w:numFmt w:val="bullet"/>
      <w:lvlText w:val="▪"/>
      <w:lvlJc w:val="left"/>
      <w:pPr>
        <w:tabs>
          <w:tab w:val="left" w:pos="360"/>
        </w:tabs>
        <w:ind w:left="443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3897F8">
      <w:start w:val="1"/>
      <w:numFmt w:val="bullet"/>
      <w:lvlText w:val="•"/>
      <w:lvlJc w:val="left"/>
      <w:pPr>
        <w:tabs>
          <w:tab w:val="left" w:pos="360"/>
        </w:tabs>
        <w:ind w:left="515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78FBAE">
      <w:start w:val="1"/>
      <w:numFmt w:val="bullet"/>
      <w:lvlText w:val="o"/>
      <w:lvlJc w:val="left"/>
      <w:pPr>
        <w:tabs>
          <w:tab w:val="left" w:pos="360"/>
        </w:tabs>
        <w:ind w:left="587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92FB20">
      <w:start w:val="1"/>
      <w:numFmt w:val="bullet"/>
      <w:lvlText w:val="▪"/>
      <w:lvlJc w:val="left"/>
      <w:pPr>
        <w:tabs>
          <w:tab w:val="left" w:pos="360"/>
        </w:tabs>
        <w:ind w:left="659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F536B8"/>
    <w:multiLevelType w:val="hybridMultilevel"/>
    <w:tmpl w:val="F3603CD4"/>
    <w:styleLink w:val="ImportedStyle1"/>
    <w:lvl w:ilvl="0" w:tplc="E82C9F64">
      <w:start w:val="1"/>
      <w:numFmt w:val="bullet"/>
      <w:lvlText w:val="•"/>
      <w:lvlJc w:val="left"/>
      <w:pPr>
        <w:ind w:left="83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05962">
      <w:start w:val="1"/>
      <w:numFmt w:val="bullet"/>
      <w:lvlText w:val="o"/>
      <w:lvlJc w:val="left"/>
      <w:pPr>
        <w:ind w:left="155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D4DB6C">
      <w:start w:val="1"/>
      <w:numFmt w:val="bullet"/>
      <w:lvlText w:val="▪"/>
      <w:lvlJc w:val="left"/>
      <w:pPr>
        <w:ind w:left="227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8CEE98">
      <w:start w:val="1"/>
      <w:numFmt w:val="bullet"/>
      <w:lvlText w:val="•"/>
      <w:lvlJc w:val="left"/>
      <w:pPr>
        <w:ind w:left="299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928F06">
      <w:start w:val="1"/>
      <w:numFmt w:val="bullet"/>
      <w:lvlText w:val="o"/>
      <w:lvlJc w:val="left"/>
      <w:pPr>
        <w:ind w:left="371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6AC24">
      <w:start w:val="1"/>
      <w:numFmt w:val="bullet"/>
      <w:lvlText w:val="▪"/>
      <w:lvlJc w:val="left"/>
      <w:pPr>
        <w:ind w:left="443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0CB8DC">
      <w:start w:val="1"/>
      <w:numFmt w:val="bullet"/>
      <w:lvlText w:val="•"/>
      <w:lvlJc w:val="left"/>
      <w:pPr>
        <w:ind w:left="515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FCD118">
      <w:start w:val="1"/>
      <w:numFmt w:val="bullet"/>
      <w:lvlText w:val="o"/>
      <w:lvlJc w:val="left"/>
      <w:pPr>
        <w:ind w:left="587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30B22A">
      <w:start w:val="1"/>
      <w:numFmt w:val="bullet"/>
      <w:lvlText w:val="▪"/>
      <w:lvlJc w:val="left"/>
      <w:pPr>
        <w:ind w:left="659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5B7C94"/>
    <w:multiLevelType w:val="hybridMultilevel"/>
    <w:tmpl w:val="052496A2"/>
    <w:lvl w:ilvl="0" w:tplc="0809000F">
      <w:start w:val="1"/>
      <w:numFmt w:val="decimal"/>
      <w:lvlText w:val="%1."/>
      <w:lvlJc w:val="left"/>
      <w:pPr>
        <w:ind w:left="504" w:hanging="360"/>
      </w:p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3" w15:restartNumberingAfterBreak="0">
    <w:nsid w:val="42CD01E7"/>
    <w:multiLevelType w:val="hybridMultilevel"/>
    <w:tmpl w:val="F3603CD4"/>
    <w:numStyleLink w:val="ImportedStyle1"/>
  </w:abstractNum>
  <w:abstractNum w:abstractNumId="4" w15:restartNumberingAfterBreak="0">
    <w:nsid w:val="522E044F"/>
    <w:multiLevelType w:val="hybridMultilevel"/>
    <w:tmpl w:val="68EA52BE"/>
    <w:numStyleLink w:val="ImportedStyle2"/>
  </w:abstractNum>
  <w:abstractNum w:abstractNumId="5" w15:restartNumberingAfterBreak="0">
    <w:nsid w:val="56D56BF0"/>
    <w:multiLevelType w:val="hybridMultilevel"/>
    <w:tmpl w:val="F6DAA3A2"/>
    <w:numStyleLink w:val="ImportedStyle20"/>
  </w:abstractNum>
  <w:abstractNum w:abstractNumId="6" w15:restartNumberingAfterBreak="0">
    <w:nsid w:val="773E5736"/>
    <w:multiLevelType w:val="hybridMultilevel"/>
    <w:tmpl w:val="F6DAA3A2"/>
    <w:styleLink w:val="ImportedStyle20"/>
    <w:lvl w:ilvl="0" w:tplc="F10E5B2E">
      <w:start w:val="1"/>
      <w:numFmt w:val="decimal"/>
      <w:lvlText w:val="%1."/>
      <w:lvlJc w:val="left"/>
      <w:pPr>
        <w:ind w:left="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9728622">
      <w:start w:val="1"/>
      <w:numFmt w:val="decimal"/>
      <w:lvlText w:val="%2."/>
      <w:lvlJc w:val="left"/>
      <w:pPr>
        <w:ind w:left="9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DA4ED04">
      <w:start w:val="1"/>
      <w:numFmt w:val="decimal"/>
      <w:lvlText w:val="%3."/>
      <w:lvlJc w:val="left"/>
      <w:pPr>
        <w:ind w:left="16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7CAE448">
      <w:start w:val="1"/>
      <w:numFmt w:val="decimal"/>
      <w:lvlText w:val="%4."/>
      <w:lvlJc w:val="left"/>
      <w:pPr>
        <w:ind w:left="23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808C3E">
      <w:start w:val="1"/>
      <w:numFmt w:val="decimal"/>
      <w:lvlText w:val="%5."/>
      <w:lvlJc w:val="left"/>
      <w:pPr>
        <w:ind w:left="306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05E2D88">
      <w:start w:val="1"/>
      <w:numFmt w:val="decimal"/>
      <w:lvlText w:val="%6."/>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AAE63A">
      <w:start w:val="1"/>
      <w:numFmt w:val="decimal"/>
      <w:lvlText w:val="%7."/>
      <w:lvlJc w:val="left"/>
      <w:pPr>
        <w:ind w:left="45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ECAA396">
      <w:start w:val="1"/>
      <w:numFmt w:val="decimal"/>
      <w:lvlText w:val="%8."/>
      <w:lvlJc w:val="left"/>
      <w:pPr>
        <w:ind w:left="52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B0ABAE0">
      <w:start w:val="1"/>
      <w:numFmt w:val="decimal"/>
      <w:lvlText w:val="%9."/>
      <w:lvlJc w:val="left"/>
      <w:pPr>
        <w:ind w:left="59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3"/>
  </w:num>
  <w:num w:numId="3">
    <w:abstractNumId w:val="3"/>
    <w:lvlOverride w:ilvl="0">
      <w:lvl w:ilvl="0" w:tplc="987C72D6">
        <w:start w:val="1"/>
        <w:numFmt w:val="bullet"/>
        <w:lvlText w:val="•"/>
        <w:lvlJc w:val="left"/>
        <w:pPr>
          <w:ind w:left="83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5A7AC6">
        <w:start w:val="1"/>
        <w:numFmt w:val="bullet"/>
        <w:lvlText w:val="o"/>
        <w:lvlJc w:val="left"/>
        <w:pPr>
          <w:ind w:left="155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92D524">
        <w:start w:val="1"/>
        <w:numFmt w:val="bullet"/>
        <w:lvlText w:val="▪"/>
        <w:lvlJc w:val="left"/>
        <w:pPr>
          <w:ind w:left="227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68BB3E">
        <w:start w:val="1"/>
        <w:numFmt w:val="bullet"/>
        <w:lvlText w:val="•"/>
        <w:lvlJc w:val="left"/>
        <w:pPr>
          <w:ind w:left="299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E24BD2">
        <w:start w:val="1"/>
        <w:numFmt w:val="bullet"/>
        <w:lvlText w:val="o"/>
        <w:lvlJc w:val="left"/>
        <w:pPr>
          <w:ind w:left="371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320DF2">
        <w:start w:val="1"/>
        <w:numFmt w:val="bullet"/>
        <w:lvlText w:val="▪"/>
        <w:lvlJc w:val="left"/>
        <w:pPr>
          <w:ind w:left="443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8AC26E2">
        <w:start w:val="1"/>
        <w:numFmt w:val="bullet"/>
        <w:lvlText w:val="•"/>
        <w:lvlJc w:val="left"/>
        <w:pPr>
          <w:ind w:left="5152"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020AC2C">
        <w:start w:val="1"/>
        <w:numFmt w:val="bullet"/>
        <w:lvlText w:val="o"/>
        <w:lvlJc w:val="left"/>
        <w:pPr>
          <w:ind w:left="587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60DB78">
        <w:start w:val="1"/>
        <w:numFmt w:val="bullet"/>
        <w:lvlText w:val="▪"/>
        <w:lvlJc w:val="left"/>
        <w:pPr>
          <w:ind w:left="6592"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4"/>
  </w:num>
  <w:num w:numId="6">
    <w:abstractNumId w:val="6"/>
  </w:num>
  <w:num w:numId="7">
    <w:abstractNumId w:val="5"/>
  </w:num>
  <w:num w:numId="8">
    <w:abstractNumId w:val="5"/>
    <w:lvlOverride w:ilvl="0">
      <w:lvl w:ilvl="0" w:tplc="1430DB52">
        <w:start w:val="1"/>
        <w:numFmt w:val="decimal"/>
        <w:lvlText w:val="%1."/>
        <w:lvlJc w:val="left"/>
        <w:pPr>
          <w:ind w:left="1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394CE64">
        <w:start w:val="1"/>
        <w:numFmt w:val="decimal"/>
        <w:lvlText w:val="%2."/>
        <w:lvlJc w:val="left"/>
        <w:pPr>
          <w:ind w:left="9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01ACDFE">
        <w:start w:val="1"/>
        <w:numFmt w:val="decimal"/>
        <w:lvlText w:val="%3."/>
        <w:lvlJc w:val="left"/>
        <w:pPr>
          <w:ind w:left="16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38C4CBE">
        <w:start w:val="1"/>
        <w:numFmt w:val="decimal"/>
        <w:lvlText w:val="%4."/>
        <w:lvlJc w:val="left"/>
        <w:pPr>
          <w:ind w:left="23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59A315E">
        <w:start w:val="1"/>
        <w:numFmt w:val="decimal"/>
        <w:lvlText w:val="%5."/>
        <w:lvlJc w:val="left"/>
        <w:pPr>
          <w:ind w:left="306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F88912E">
        <w:start w:val="1"/>
        <w:numFmt w:val="decimal"/>
        <w:lvlText w:val="%6."/>
        <w:lvlJc w:val="left"/>
        <w:pPr>
          <w:ind w:left="378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C1E0784">
        <w:start w:val="1"/>
        <w:numFmt w:val="decimal"/>
        <w:lvlText w:val="%7."/>
        <w:lvlJc w:val="left"/>
        <w:pPr>
          <w:ind w:left="45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B3C58B2">
        <w:start w:val="1"/>
        <w:numFmt w:val="decimal"/>
        <w:lvlText w:val="%8."/>
        <w:lvlJc w:val="left"/>
        <w:pPr>
          <w:ind w:left="522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AB6D850">
        <w:start w:val="1"/>
        <w:numFmt w:val="decimal"/>
        <w:lvlText w:val="%9."/>
        <w:lvlJc w:val="left"/>
        <w:pPr>
          <w:ind w:left="594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856"/>
    <w:rsid w:val="003E7C9F"/>
    <w:rsid w:val="00D31626"/>
    <w:rsid w:val="00E87FF0"/>
    <w:rsid w:val="00EA4D9A"/>
    <w:rsid w:val="00F5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652E8"/>
  <w15:docId w15:val="{321D15A3-5FE3-420D-97C3-B59E4A79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pPr>
      <w:spacing w:after="120"/>
      <w:jc w:val="both"/>
    </w:pPr>
    <w:rPr>
      <w:rFonts w:ascii="Arial" w:hAnsi="Arial" w:cs="Arial Unicode MS"/>
      <w:color w:val="000000"/>
      <w:sz w:val="24"/>
      <w:szCs w:val="24"/>
      <w:u w:color="000000"/>
    </w:rPr>
  </w:style>
  <w:style w:type="character" w:customStyle="1" w:styleId="NoneB">
    <w:name w:val="None B"/>
    <w:rPr>
      <w:lang w:val="en-US"/>
    </w:rPr>
  </w:style>
  <w:style w:type="paragraph" w:customStyle="1" w:styleId="BodyB">
    <w:name w:val="Body B"/>
    <w:rPr>
      <w:rFonts w:cs="Arial Unicode MS"/>
      <w:color w:val="000000"/>
      <w:sz w:val="24"/>
      <w:szCs w:val="24"/>
      <w:u w:color="000000"/>
    </w:rPr>
  </w:style>
  <w:style w:type="character" w:customStyle="1" w:styleId="NoneA">
    <w:name w:val="None A"/>
    <w:basedOn w:val="NoneB"/>
    <w:rPr>
      <w:lang w:val="en-US"/>
    </w:rPr>
  </w:style>
  <w:style w:type="paragraph" w:customStyle="1" w:styleId="BodyC">
    <w:name w:val="Body C"/>
    <w:rPr>
      <w:rFonts w:eastAsia="Times New Roman"/>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customStyle="1" w:styleId="BodyAA">
    <w:name w:val="Body A A"/>
    <w:pPr>
      <w:widowControl w:val="0"/>
    </w:pPr>
    <w:rPr>
      <w:rFonts w:cs="Arial Unicode MS"/>
      <w:color w:val="000000"/>
      <w:sz w:val="24"/>
      <w:szCs w:val="24"/>
      <w:u w:color="000000"/>
    </w:rPr>
  </w:style>
  <w:style w:type="numbering" w:customStyle="1" w:styleId="ImportedStyle20">
    <w:name w:val="Imported Style 2.0"/>
    <w:pPr>
      <w:numPr>
        <w:numId w:val="6"/>
      </w:numPr>
    </w:pPr>
  </w:style>
  <w:style w:type="character" w:customStyle="1" w:styleId="Hyperlink0">
    <w:name w:val="Hyperlink.0"/>
    <w:basedOn w:val="NoneB"/>
    <w:rPr>
      <w:color w:val="000000"/>
      <w:u w:val="single" w:color="000000"/>
      <w:lang w:val="en-US"/>
    </w:rPr>
  </w:style>
  <w:style w:type="paragraph" w:styleId="BalloonText">
    <w:name w:val="Balloon Text"/>
    <w:basedOn w:val="Normal"/>
    <w:link w:val="BalloonTextChar"/>
    <w:uiPriority w:val="99"/>
    <w:semiHidden/>
    <w:unhideWhenUsed/>
    <w:rsid w:val="00E87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FF0"/>
    <w:rPr>
      <w:rFonts w:ascii="Segoe UI" w:hAnsi="Segoe UI" w:cs="Segoe UI"/>
      <w:sz w:val="18"/>
      <w:szCs w:val="18"/>
    </w:rPr>
  </w:style>
  <w:style w:type="character" w:styleId="LineNumber">
    <w:name w:val="line number"/>
    <w:basedOn w:val="DefaultParagraphFont"/>
    <w:uiPriority w:val="99"/>
    <w:semiHidden/>
    <w:unhideWhenUsed/>
    <w:rsid w:val="00D3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rodental.org/ddc/ddid8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diworldental.org/publications/declarations/istanbul-declara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 Ibarra</cp:lastModifiedBy>
  <cp:revision>3</cp:revision>
  <dcterms:created xsi:type="dcterms:W3CDTF">2018-09-04T15:09:00Z</dcterms:created>
  <dcterms:modified xsi:type="dcterms:W3CDTF">2018-09-05T20:18:00Z</dcterms:modified>
</cp:coreProperties>
</file>