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3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3"/>
      </w:tblGrid>
      <w:tr w:rsidR="004A2AEF" w:rsidRPr="004B007C" w14:paraId="23DCD3DA" w14:textId="77777777" w:rsidTr="00645DB9">
        <w:trPr>
          <w:trHeight w:hRule="exact" w:val="496"/>
        </w:trPr>
        <w:tc>
          <w:tcPr>
            <w:tcW w:w="92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0925FD3" w14:textId="77777777" w:rsidR="00A45B55" w:rsidRDefault="004A2AEF" w:rsidP="00214523">
            <w:pPr>
              <w:pStyle w:val="TableParagraph"/>
              <w:spacing w:line="418" w:lineRule="exact"/>
              <w:ind w:left="39" w:right="142"/>
              <w:jc w:val="center"/>
              <w:rPr>
                <w:rFonts w:ascii="Arial" w:hAnsi="Arial" w:cs="Arial"/>
                <w:b/>
                <w:spacing w:val="1"/>
                <w:sz w:val="37"/>
              </w:rPr>
            </w:pPr>
            <w:r w:rsidRPr="004B007C">
              <w:rPr>
                <w:rFonts w:ascii="Arial" w:hAnsi="Arial" w:cs="Arial"/>
                <w:b/>
                <w:spacing w:val="1"/>
                <w:sz w:val="37"/>
              </w:rPr>
              <w:t>FDI</w:t>
            </w:r>
            <w:r w:rsidRPr="004B007C">
              <w:rPr>
                <w:rFonts w:ascii="Arial" w:hAnsi="Arial" w:cs="Arial"/>
                <w:b/>
                <w:spacing w:val="20"/>
                <w:sz w:val="37"/>
              </w:rPr>
              <w:t xml:space="preserve"> </w:t>
            </w:r>
            <w:r w:rsidR="008941A1">
              <w:rPr>
                <w:rFonts w:ascii="Arial" w:hAnsi="Arial" w:cs="Arial"/>
                <w:b/>
                <w:spacing w:val="20"/>
                <w:sz w:val="37"/>
              </w:rPr>
              <w:t xml:space="preserve">DRAFT </w:t>
            </w:r>
            <w:r w:rsidRPr="004B007C">
              <w:rPr>
                <w:rFonts w:ascii="Arial" w:hAnsi="Arial" w:cs="Arial"/>
                <w:b/>
                <w:spacing w:val="1"/>
                <w:sz w:val="37"/>
              </w:rPr>
              <w:t>POLICY</w:t>
            </w:r>
            <w:r w:rsidRPr="004B007C">
              <w:rPr>
                <w:rFonts w:ascii="Arial" w:hAnsi="Arial" w:cs="Arial"/>
                <w:b/>
                <w:spacing w:val="18"/>
                <w:sz w:val="37"/>
              </w:rPr>
              <w:t xml:space="preserve"> </w:t>
            </w:r>
            <w:r w:rsidRPr="004B007C">
              <w:rPr>
                <w:rFonts w:ascii="Arial" w:hAnsi="Arial" w:cs="Arial"/>
                <w:b/>
                <w:spacing w:val="1"/>
                <w:sz w:val="37"/>
              </w:rPr>
              <w:t>STATEMENT</w:t>
            </w:r>
            <w:r w:rsidR="00214523">
              <w:rPr>
                <w:rFonts w:ascii="Arial" w:hAnsi="Arial" w:cs="Arial"/>
                <w:b/>
                <w:spacing w:val="1"/>
                <w:sz w:val="37"/>
              </w:rPr>
              <w:t xml:space="preserve"> </w:t>
            </w:r>
          </w:p>
          <w:p w14:paraId="7A72DEDE" w14:textId="77777777" w:rsidR="004A2AEF" w:rsidRPr="004B007C" w:rsidRDefault="004A2AEF" w:rsidP="00A45B55">
            <w:pPr>
              <w:pStyle w:val="TableParagraph"/>
              <w:spacing w:line="418" w:lineRule="exact"/>
              <w:ind w:right="142"/>
              <w:jc w:val="center"/>
              <w:rPr>
                <w:rFonts w:ascii="Arial" w:eastAsia="Arial" w:hAnsi="Arial" w:cs="Arial"/>
                <w:sz w:val="37"/>
                <w:szCs w:val="37"/>
              </w:rPr>
            </w:pPr>
          </w:p>
        </w:tc>
      </w:tr>
      <w:tr w:rsidR="004A2AEF" w:rsidRPr="004B007C" w14:paraId="53E0E79A" w14:textId="77777777" w:rsidTr="0073359A">
        <w:trPr>
          <w:trHeight w:hRule="exact" w:val="269"/>
        </w:trPr>
        <w:tc>
          <w:tcPr>
            <w:tcW w:w="92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9B80691" w14:textId="77777777" w:rsidR="004A2AEF" w:rsidRPr="004B007C" w:rsidRDefault="004A2AEF" w:rsidP="00214523">
            <w:pPr>
              <w:ind w:left="39" w:right="142"/>
              <w:jc w:val="center"/>
              <w:rPr>
                <w:rFonts w:ascii="Arial" w:hAnsi="Arial" w:cs="Arial"/>
              </w:rPr>
            </w:pPr>
          </w:p>
        </w:tc>
      </w:tr>
      <w:tr w:rsidR="004A2AEF" w:rsidRPr="004B007C" w14:paraId="0F8B7A65" w14:textId="77777777" w:rsidTr="0073359A">
        <w:trPr>
          <w:trHeight w:hRule="exact" w:val="355"/>
        </w:trPr>
        <w:tc>
          <w:tcPr>
            <w:tcW w:w="92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621F39B" w14:textId="77777777" w:rsidR="004A2AEF" w:rsidRPr="004B007C" w:rsidRDefault="000F7E13" w:rsidP="000F7E13">
            <w:pPr>
              <w:pStyle w:val="TableParagraph"/>
              <w:spacing w:line="331" w:lineRule="exact"/>
              <w:ind w:left="39" w:right="142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pacing w:val="-2"/>
                <w:sz w:val="30"/>
              </w:rPr>
              <w:t>D</w:t>
            </w:r>
            <w:r w:rsidRPr="000F7E13">
              <w:rPr>
                <w:rFonts w:ascii="Arial" w:hAnsi="Arial" w:cs="Arial"/>
                <w:b/>
                <w:spacing w:val="-2"/>
                <w:sz w:val="30"/>
              </w:rPr>
              <w:t xml:space="preserve">ental </w:t>
            </w:r>
            <w:r>
              <w:rPr>
                <w:rFonts w:ascii="Arial" w:hAnsi="Arial" w:cs="Arial"/>
                <w:b/>
                <w:spacing w:val="-2"/>
                <w:sz w:val="30"/>
              </w:rPr>
              <w:t>A</w:t>
            </w:r>
            <w:r w:rsidRPr="000F7E13">
              <w:rPr>
                <w:rFonts w:ascii="Arial" w:hAnsi="Arial" w:cs="Arial"/>
                <w:b/>
                <w:spacing w:val="-2"/>
                <w:sz w:val="30"/>
              </w:rPr>
              <w:t xml:space="preserve">malgam Phase </w:t>
            </w:r>
            <w:r>
              <w:rPr>
                <w:rFonts w:ascii="Arial" w:hAnsi="Arial" w:cs="Arial"/>
                <w:b/>
                <w:spacing w:val="-2"/>
                <w:sz w:val="30"/>
              </w:rPr>
              <w:t>D</w:t>
            </w:r>
            <w:r w:rsidRPr="000F7E13">
              <w:rPr>
                <w:rFonts w:ascii="Arial" w:hAnsi="Arial" w:cs="Arial"/>
                <w:b/>
                <w:spacing w:val="-2"/>
                <w:sz w:val="30"/>
              </w:rPr>
              <w:t>own</w:t>
            </w:r>
          </w:p>
        </w:tc>
      </w:tr>
      <w:tr w:rsidR="004A2AEF" w:rsidRPr="004B007C" w14:paraId="4C96A81E" w14:textId="77777777" w:rsidTr="0073359A">
        <w:trPr>
          <w:trHeight w:hRule="exact" w:val="269"/>
        </w:trPr>
        <w:tc>
          <w:tcPr>
            <w:tcW w:w="92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4E33C8B" w14:textId="77777777" w:rsidR="004A2AEF" w:rsidRPr="004B007C" w:rsidRDefault="004A2AEF" w:rsidP="00214523">
            <w:pPr>
              <w:ind w:left="39" w:right="142"/>
              <w:jc w:val="center"/>
              <w:rPr>
                <w:rFonts w:ascii="Arial" w:hAnsi="Arial" w:cs="Arial"/>
              </w:rPr>
            </w:pPr>
          </w:p>
        </w:tc>
      </w:tr>
      <w:tr w:rsidR="004A2AEF" w:rsidRPr="0005357E" w14:paraId="1C49BD33" w14:textId="77777777" w:rsidTr="00E47BC6">
        <w:trPr>
          <w:trHeight w:hRule="exact" w:val="1171"/>
        </w:trPr>
        <w:tc>
          <w:tcPr>
            <w:tcW w:w="92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noWrap/>
            <w:vAlign w:val="center"/>
          </w:tcPr>
          <w:p w14:paraId="4ABC580C" w14:textId="77777777" w:rsidR="007D6C28" w:rsidRDefault="001D697F" w:rsidP="0045549B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45549B" w:rsidRPr="00DB4860">
              <w:rPr>
                <w:rFonts w:ascii="Arial" w:eastAsia="Times New Roman" w:hAnsi="Arial" w:cs="Arial"/>
                <w:b/>
                <w:sz w:val="24"/>
                <w:szCs w:val="24"/>
              </w:rPr>
              <w:t>ubmitted for adoption</w:t>
            </w:r>
            <w:r w:rsidR="0045549B" w:rsidRPr="00DB4860">
              <w:rPr>
                <w:rFonts w:ascii="Arial" w:eastAsia="Times New Roman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="001737C1"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  <w:t>to</w:t>
            </w:r>
            <w:r w:rsidR="0045549B" w:rsidRPr="00DB4860">
              <w:rPr>
                <w:rFonts w:ascii="Arial" w:eastAsia="Times New Roman" w:hAnsi="Arial" w:cs="Arial"/>
                <w:b/>
                <w:spacing w:val="15"/>
                <w:sz w:val="24"/>
                <w:szCs w:val="24"/>
              </w:rPr>
              <w:t xml:space="preserve"> </w:t>
            </w:r>
            <w:r w:rsidR="0045549B" w:rsidRPr="00DB4860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the</w:t>
            </w:r>
            <w:r w:rsidR="0045549B" w:rsidRPr="00DB4860">
              <w:rPr>
                <w:rFonts w:ascii="Arial" w:eastAsia="Times New Roman" w:hAnsi="Arial" w:cs="Arial"/>
                <w:b/>
                <w:spacing w:val="22"/>
                <w:sz w:val="24"/>
                <w:szCs w:val="24"/>
              </w:rPr>
              <w:t xml:space="preserve"> </w:t>
            </w:r>
            <w:r w:rsidR="0045549B" w:rsidRPr="00DB4860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General</w:t>
            </w:r>
            <w:r w:rsidR="0045549B" w:rsidRPr="00DB4860">
              <w:rPr>
                <w:rFonts w:ascii="Arial" w:eastAsia="Times New Roman" w:hAnsi="Arial" w:cs="Arial"/>
                <w:b/>
                <w:spacing w:val="22"/>
                <w:sz w:val="24"/>
                <w:szCs w:val="24"/>
              </w:rPr>
              <w:t xml:space="preserve"> </w:t>
            </w:r>
            <w:r w:rsidR="0045549B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Assembly</w:t>
            </w:r>
            <w:r w:rsidR="004A2AEF" w:rsidRPr="001129C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D6C28">
              <w:rPr>
                <w:rFonts w:ascii="Arial" w:hAnsi="Arial" w:cs="Arial"/>
                <w:b/>
                <w:sz w:val="24"/>
                <w:szCs w:val="24"/>
              </w:rPr>
              <w:t xml:space="preserve">September </w:t>
            </w:r>
            <w:r w:rsidR="002D2F4C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50C8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018C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D6C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68A9356" w14:textId="77777777" w:rsidR="004A2AEF" w:rsidRPr="00A92FDD" w:rsidRDefault="007D6C28" w:rsidP="0045549B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92FDD">
              <w:rPr>
                <w:rFonts w:ascii="Arial" w:hAnsi="Arial" w:cs="Arial"/>
                <w:b/>
                <w:sz w:val="24"/>
                <w:szCs w:val="24"/>
                <w:lang w:val="es-ES"/>
              </w:rPr>
              <w:t>Buenos Aires</w:t>
            </w:r>
            <w:r w:rsidR="007018CB" w:rsidRPr="00A92FDD">
              <w:rPr>
                <w:rFonts w:ascii="Arial" w:hAnsi="Arial" w:cs="Arial"/>
                <w:b/>
                <w:sz w:val="24"/>
                <w:szCs w:val="24"/>
                <w:lang w:val="es-ES"/>
              </w:rPr>
              <w:t>,</w:t>
            </w:r>
            <w:r w:rsidRPr="00A92FD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Argentina</w:t>
            </w:r>
            <w:r w:rsidR="00B50C85" w:rsidRPr="00A92FD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4A2AEF" w:rsidRPr="00A92FD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7D430EF3" w14:textId="5D1688D7" w:rsidR="004A2AEF" w:rsidRPr="00E47BC6" w:rsidRDefault="00715D39" w:rsidP="00214523">
            <w:pPr>
              <w:autoSpaceDE w:val="0"/>
              <w:autoSpaceDN w:val="0"/>
              <w:adjustRightInd w:val="0"/>
              <w:ind w:left="39" w:right="142"/>
              <w:jc w:val="center"/>
              <w:rPr>
                <w:rFonts w:cs="Arial"/>
                <w:b/>
                <w:bCs/>
                <w:color w:val="ED7D31" w:themeColor="accent2"/>
                <w:spacing w:val="1"/>
                <w:sz w:val="28"/>
                <w:szCs w:val="37"/>
                <w:lang w:val="es-ES"/>
              </w:rPr>
            </w:pPr>
            <w:r w:rsidRPr="00E47BC6">
              <w:rPr>
                <w:rFonts w:cs="Arial"/>
                <w:b/>
                <w:bCs/>
                <w:color w:val="ED7D31" w:themeColor="accent2"/>
                <w:spacing w:val="1"/>
                <w:sz w:val="28"/>
                <w:szCs w:val="37"/>
                <w:lang w:val="es-ES"/>
              </w:rPr>
              <w:t xml:space="preserve">Final Draft </w:t>
            </w:r>
            <w:r w:rsidR="00E85192" w:rsidRPr="00E47BC6">
              <w:rPr>
                <w:rFonts w:cs="Arial"/>
                <w:b/>
                <w:bCs/>
                <w:color w:val="ED7D31" w:themeColor="accent2"/>
                <w:spacing w:val="1"/>
                <w:sz w:val="28"/>
                <w:szCs w:val="37"/>
                <w:lang w:val="es-ES"/>
              </w:rPr>
              <w:t>2</w:t>
            </w:r>
          </w:p>
          <w:p w14:paraId="10A16FC6" w14:textId="016C14F6" w:rsidR="00D07786" w:rsidRPr="0005357E" w:rsidRDefault="00D07786" w:rsidP="0005357E">
            <w:pPr>
              <w:autoSpaceDE w:val="0"/>
              <w:autoSpaceDN w:val="0"/>
              <w:adjustRightInd w:val="0"/>
              <w:ind w:right="142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53EBFED4" w14:textId="77777777" w:rsidR="003613FB" w:rsidRPr="0005357E" w:rsidRDefault="00A45B55" w:rsidP="008A25C9">
      <w:pPr>
        <w:ind w:left="142"/>
        <w:rPr>
          <w:rFonts w:cs="Arial"/>
          <w:b/>
          <w:spacing w:val="-1"/>
          <w:sz w:val="24"/>
          <w:szCs w:val="24"/>
          <w:lang w:val="es-ES"/>
        </w:rPr>
      </w:pPr>
      <w:r w:rsidRPr="0073359A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82B50C0" wp14:editId="64721EF0">
            <wp:simplePos x="0" y="0"/>
            <wp:positionH relativeFrom="margin">
              <wp:posOffset>2218055</wp:posOffset>
            </wp:positionH>
            <wp:positionV relativeFrom="paragraph">
              <wp:posOffset>-2540000</wp:posOffset>
            </wp:positionV>
            <wp:extent cx="1755775" cy="714375"/>
            <wp:effectExtent l="0" t="0" r="0" b="9525"/>
            <wp:wrapNone/>
            <wp:docPr id="2" name="Picture 2" descr="FDI sans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I sans wor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BF8CA" w14:textId="77777777" w:rsidR="000B2AF6" w:rsidRPr="00A62BE3" w:rsidRDefault="000B2AF6" w:rsidP="00E6339C">
      <w:pPr>
        <w:pStyle w:val="BodyText"/>
        <w:spacing w:after="120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 w:rsidRPr="00A62BE3">
        <w:rPr>
          <w:rFonts w:cs="Arial"/>
          <w:b/>
          <w:spacing w:val="-1"/>
          <w:sz w:val="24"/>
          <w:szCs w:val="24"/>
        </w:rPr>
        <w:t>CONTEXT</w:t>
      </w:r>
    </w:p>
    <w:p w14:paraId="3DA414D5" w14:textId="53D0BED9" w:rsidR="000B2AF6" w:rsidRDefault="00DA2D01" w:rsidP="00E6339C">
      <w:pPr>
        <w:pStyle w:val="BodyText"/>
        <w:spacing w:after="120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Mercury is a </w:t>
      </w:r>
      <w:r w:rsidR="00ED603B">
        <w:rPr>
          <w:rFonts w:cs="Arial"/>
          <w:spacing w:val="-1"/>
          <w:sz w:val="24"/>
          <w:szCs w:val="24"/>
        </w:rPr>
        <w:t>widely</w:t>
      </w:r>
      <w:r w:rsidR="009B286D">
        <w:rPr>
          <w:rFonts w:cs="Arial"/>
          <w:spacing w:val="-1"/>
          <w:sz w:val="24"/>
          <w:szCs w:val="24"/>
        </w:rPr>
        <w:t xml:space="preserve"> </w:t>
      </w:r>
      <w:r w:rsidR="00ED603B">
        <w:rPr>
          <w:rFonts w:cs="Arial"/>
          <w:spacing w:val="-1"/>
          <w:sz w:val="24"/>
          <w:szCs w:val="24"/>
        </w:rPr>
        <w:t>present</w:t>
      </w:r>
      <w:r>
        <w:rPr>
          <w:rFonts w:cs="Arial"/>
          <w:spacing w:val="-1"/>
          <w:sz w:val="24"/>
          <w:szCs w:val="24"/>
        </w:rPr>
        <w:t xml:space="preserve"> environmental pollutant that </w:t>
      </w:r>
      <w:r w:rsidR="006331D8">
        <w:rPr>
          <w:rFonts w:cs="Arial"/>
          <w:spacing w:val="-1"/>
          <w:sz w:val="24"/>
          <w:szCs w:val="24"/>
        </w:rPr>
        <w:t xml:space="preserve">in certain forms </w:t>
      </w:r>
      <w:r>
        <w:rPr>
          <w:rFonts w:cs="Arial"/>
          <w:spacing w:val="-1"/>
          <w:sz w:val="24"/>
          <w:szCs w:val="24"/>
        </w:rPr>
        <w:t xml:space="preserve">poses a threat to ecosystems. </w:t>
      </w:r>
      <w:r w:rsidR="00677D1E">
        <w:rPr>
          <w:rFonts w:cs="Arial"/>
          <w:spacing w:val="-1"/>
          <w:sz w:val="24"/>
          <w:szCs w:val="24"/>
        </w:rPr>
        <w:t>Dental a</w:t>
      </w:r>
      <w:r w:rsidR="00B501DA">
        <w:rPr>
          <w:rFonts w:cs="Arial"/>
          <w:spacing w:val="-1"/>
          <w:sz w:val="24"/>
          <w:szCs w:val="24"/>
        </w:rPr>
        <w:t>malgam is a clinically well</w:t>
      </w:r>
      <w:r w:rsidR="00677D1E">
        <w:rPr>
          <w:rFonts w:cs="Arial"/>
          <w:spacing w:val="-1"/>
          <w:sz w:val="24"/>
          <w:szCs w:val="24"/>
        </w:rPr>
        <w:t>-</w:t>
      </w:r>
      <w:r w:rsidR="00B501DA">
        <w:rPr>
          <w:rFonts w:cs="Arial"/>
          <w:spacing w:val="-1"/>
          <w:sz w:val="24"/>
          <w:szCs w:val="24"/>
        </w:rPr>
        <w:t>proven and successful filling material</w:t>
      </w:r>
      <w:r w:rsidR="00677D1E">
        <w:rPr>
          <w:rFonts w:cs="Arial"/>
          <w:spacing w:val="-1"/>
          <w:sz w:val="24"/>
          <w:szCs w:val="24"/>
        </w:rPr>
        <w:t>,</w:t>
      </w:r>
      <w:r w:rsidR="00B501DA">
        <w:rPr>
          <w:rFonts w:cs="Arial"/>
          <w:spacing w:val="-1"/>
          <w:sz w:val="24"/>
          <w:szCs w:val="24"/>
        </w:rPr>
        <w:t xml:space="preserve"> but t</w:t>
      </w:r>
      <w:r>
        <w:rPr>
          <w:rFonts w:cs="Arial"/>
          <w:spacing w:val="-1"/>
          <w:sz w:val="24"/>
          <w:szCs w:val="24"/>
        </w:rPr>
        <w:t>he</w:t>
      </w:r>
      <w:r w:rsidR="008D6B43">
        <w:rPr>
          <w:rFonts w:cs="Arial"/>
          <w:spacing w:val="-1"/>
          <w:sz w:val="24"/>
          <w:szCs w:val="24"/>
        </w:rPr>
        <w:t xml:space="preserve"> use of dental amalgam is </w:t>
      </w:r>
      <w:r w:rsidR="00BA62BC">
        <w:rPr>
          <w:rFonts w:cs="Arial"/>
          <w:spacing w:val="-1"/>
          <w:sz w:val="24"/>
          <w:szCs w:val="24"/>
        </w:rPr>
        <w:t>o</w:t>
      </w:r>
      <w:r w:rsidR="008D6B43">
        <w:rPr>
          <w:rFonts w:cs="Arial"/>
          <w:spacing w:val="-1"/>
          <w:sz w:val="24"/>
          <w:szCs w:val="24"/>
        </w:rPr>
        <w:t>ne</w:t>
      </w:r>
      <w:r w:rsidR="006331D8">
        <w:rPr>
          <w:rFonts w:cs="Arial"/>
          <w:spacing w:val="-1"/>
          <w:sz w:val="24"/>
          <w:szCs w:val="24"/>
        </w:rPr>
        <w:t xml:space="preserve"> </w:t>
      </w:r>
      <w:r w:rsidR="008D6B43">
        <w:rPr>
          <w:rFonts w:cs="Arial"/>
          <w:spacing w:val="-1"/>
          <w:sz w:val="24"/>
          <w:szCs w:val="24"/>
        </w:rPr>
        <w:t>of</w:t>
      </w:r>
      <w:r>
        <w:rPr>
          <w:rFonts w:cs="Arial"/>
          <w:spacing w:val="-1"/>
          <w:sz w:val="24"/>
          <w:szCs w:val="24"/>
        </w:rPr>
        <w:t xml:space="preserve"> several sources </w:t>
      </w:r>
      <w:r w:rsidR="002A6200">
        <w:rPr>
          <w:rFonts w:cs="Arial"/>
          <w:spacing w:val="-1"/>
          <w:sz w:val="24"/>
          <w:szCs w:val="24"/>
        </w:rPr>
        <w:t>of</w:t>
      </w:r>
      <w:r>
        <w:rPr>
          <w:rFonts w:cs="Arial"/>
          <w:spacing w:val="-1"/>
          <w:sz w:val="24"/>
          <w:szCs w:val="24"/>
        </w:rPr>
        <w:t xml:space="preserve"> mercury </w:t>
      </w:r>
      <w:r w:rsidR="00B50C85">
        <w:rPr>
          <w:rFonts w:cs="Arial"/>
          <w:spacing w:val="-1"/>
          <w:sz w:val="24"/>
          <w:szCs w:val="24"/>
        </w:rPr>
        <w:t>pollution</w:t>
      </w:r>
      <w:r w:rsidR="009B286D">
        <w:rPr>
          <w:rFonts w:cs="Arial"/>
          <w:spacing w:val="-1"/>
          <w:sz w:val="24"/>
          <w:szCs w:val="24"/>
        </w:rPr>
        <w:t>, albeit minor</w:t>
      </w:r>
      <w:r w:rsidR="00806415">
        <w:rPr>
          <w:rFonts w:cs="Arial"/>
          <w:spacing w:val="-1"/>
          <w:sz w:val="24"/>
          <w:szCs w:val="24"/>
        </w:rPr>
        <w:t>.</w:t>
      </w:r>
      <w:r w:rsidR="008D6B43">
        <w:rPr>
          <w:rFonts w:cs="Arial"/>
          <w:spacing w:val="-1"/>
          <w:sz w:val="24"/>
          <w:szCs w:val="24"/>
        </w:rPr>
        <w:t xml:space="preserve"> </w:t>
      </w:r>
      <w:r w:rsidR="00806415">
        <w:rPr>
          <w:rFonts w:cs="Arial"/>
          <w:spacing w:val="-1"/>
          <w:sz w:val="24"/>
          <w:szCs w:val="24"/>
        </w:rPr>
        <w:t>However,</w:t>
      </w:r>
      <w:r w:rsidR="004B2550" w:rsidRPr="004B2550">
        <w:rPr>
          <w:rFonts w:cs="Arial"/>
          <w:spacing w:val="-1"/>
          <w:sz w:val="24"/>
          <w:szCs w:val="24"/>
        </w:rPr>
        <w:t xml:space="preserve"> the dental profession recognizes</w:t>
      </w:r>
      <w:r w:rsidR="009B286D">
        <w:rPr>
          <w:rFonts w:cs="Arial"/>
          <w:spacing w:val="-1"/>
          <w:sz w:val="24"/>
          <w:szCs w:val="24"/>
        </w:rPr>
        <w:t xml:space="preserve"> th</w:t>
      </w:r>
      <w:r w:rsidR="00310B2E">
        <w:rPr>
          <w:rFonts w:cs="Arial"/>
          <w:spacing w:val="-1"/>
          <w:sz w:val="24"/>
          <w:szCs w:val="24"/>
        </w:rPr>
        <w:t>e need</w:t>
      </w:r>
      <w:r w:rsidR="009B286D">
        <w:rPr>
          <w:rFonts w:cs="Arial"/>
          <w:spacing w:val="-1"/>
          <w:sz w:val="24"/>
          <w:szCs w:val="24"/>
        </w:rPr>
        <w:t xml:space="preserve"> to</w:t>
      </w:r>
      <w:r w:rsidR="009509D4">
        <w:rPr>
          <w:rFonts w:cs="Arial"/>
          <w:spacing w:val="-1"/>
          <w:sz w:val="24"/>
          <w:szCs w:val="24"/>
        </w:rPr>
        <w:t xml:space="preserve"> expedite the</w:t>
      </w:r>
      <w:r w:rsidR="009B286D">
        <w:rPr>
          <w:rFonts w:cs="Arial"/>
          <w:spacing w:val="-1"/>
          <w:sz w:val="24"/>
          <w:szCs w:val="24"/>
        </w:rPr>
        <w:t xml:space="preserve"> </w:t>
      </w:r>
      <w:r w:rsidR="008D6B43">
        <w:rPr>
          <w:rFonts w:cs="Arial"/>
          <w:spacing w:val="-1"/>
          <w:sz w:val="24"/>
          <w:szCs w:val="24"/>
        </w:rPr>
        <w:t>reduc</w:t>
      </w:r>
      <w:r w:rsidR="009509D4">
        <w:rPr>
          <w:rFonts w:cs="Arial"/>
          <w:spacing w:val="-1"/>
          <w:sz w:val="24"/>
          <w:szCs w:val="24"/>
        </w:rPr>
        <w:t>tion</w:t>
      </w:r>
      <w:r w:rsidR="009B286D">
        <w:rPr>
          <w:rFonts w:cs="Arial"/>
          <w:spacing w:val="-1"/>
          <w:sz w:val="24"/>
          <w:szCs w:val="24"/>
        </w:rPr>
        <w:t xml:space="preserve"> </w:t>
      </w:r>
      <w:r w:rsidR="009509D4">
        <w:rPr>
          <w:rFonts w:cs="Arial"/>
          <w:spacing w:val="-1"/>
          <w:sz w:val="24"/>
          <w:szCs w:val="24"/>
        </w:rPr>
        <w:t xml:space="preserve">in </w:t>
      </w:r>
      <w:r w:rsidR="008D6B43">
        <w:rPr>
          <w:rFonts w:cs="Arial"/>
          <w:spacing w:val="-1"/>
          <w:sz w:val="24"/>
          <w:szCs w:val="24"/>
        </w:rPr>
        <w:t>the use of mercury</w:t>
      </w:r>
      <w:r w:rsidR="00571ED3">
        <w:rPr>
          <w:rFonts w:cs="Arial"/>
          <w:spacing w:val="-1"/>
          <w:sz w:val="24"/>
          <w:szCs w:val="24"/>
        </w:rPr>
        <w:t xml:space="preserve"> </w:t>
      </w:r>
      <w:r w:rsidR="00622554">
        <w:rPr>
          <w:rFonts w:cs="Arial"/>
          <w:spacing w:val="-1"/>
          <w:sz w:val="24"/>
          <w:szCs w:val="24"/>
        </w:rPr>
        <w:t xml:space="preserve">including dental amalgam </w:t>
      </w:r>
      <w:r w:rsidR="00571ED3">
        <w:rPr>
          <w:rFonts w:cs="Arial"/>
          <w:spacing w:val="-1"/>
          <w:sz w:val="24"/>
          <w:szCs w:val="24"/>
        </w:rPr>
        <w:t>and</w:t>
      </w:r>
      <w:r w:rsidR="009B286D">
        <w:rPr>
          <w:rFonts w:cs="Arial"/>
          <w:spacing w:val="-1"/>
          <w:sz w:val="24"/>
          <w:szCs w:val="24"/>
        </w:rPr>
        <w:t xml:space="preserve"> </w:t>
      </w:r>
      <w:r w:rsidR="00571ED3">
        <w:rPr>
          <w:rFonts w:cs="Arial"/>
          <w:spacing w:val="-1"/>
          <w:sz w:val="24"/>
          <w:szCs w:val="24"/>
        </w:rPr>
        <w:t>safe</w:t>
      </w:r>
      <w:r w:rsidR="008B1EE7">
        <w:rPr>
          <w:rFonts w:cs="Arial"/>
          <w:spacing w:val="-1"/>
          <w:sz w:val="24"/>
          <w:szCs w:val="24"/>
        </w:rPr>
        <w:t xml:space="preserve"> mercury</w:t>
      </w:r>
      <w:r w:rsidR="001748E7">
        <w:rPr>
          <w:rFonts w:cs="Arial"/>
          <w:spacing w:val="-1"/>
          <w:sz w:val="24"/>
          <w:szCs w:val="24"/>
        </w:rPr>
        <w:t xml:space="preserve"> </w:t>
      </w:r>
      <w:r w:rsidR="008B1EE7">
        <w:rPr>
          <w:rFonts w:cs="Arial"/>
          <w:spacing w:val="-1"/>
          <w:sz w:val="24"/>
          <w:szCs w:val="24"/>
        </w:rPr>
        <w:t xml:space="preserve">waste </w:t>
      </w:r>
      <w:r w:rsidR="00571ED3">
        <w:rPr>
          <w:rFonts w:cs="Arial"/>
          <w:spacing w:val="-1"/>
          <w:sz w:val="24"/>
          <w:szCs w:val="24"/>
        </w:rPr>
        <w:t>management</w:t>
      </w:r>
      <w:r w:rsidR="008D6B43">
        <w:rPr>
          <w:rFonts w:cs="Arial"/>
          <w:spacing w:val="-1"/>
          <w:sz w:val="24"/>
          <w:szCs w:val="24"/>
        </w:rPr>
        <w:t xml:space="preserve">. Increased focus on caries prevention and </w:t>
      </w:r>
      <w:r w:rsidR="004B2550">
        <w:rPr>
          <w:rFonts w:cs="Arial"/>
          <w:spacing w:val="-1"/>
          <w:sz w:val="24"/>
          <w:szCs w:val="24"/>
        </w:rPr>
        <w:t xml:space="preserve">ongoing </w:t>
      </w:r>
      <w:r w:rsidR="000E0D97">
        <w:rPr>
          <w:rFonts w:cs="Arial"/>
          <w:spacing w:val="-1"/>
          <w:sz w:val="24"/>
          <w:szCs w:val="24"/>
        </w:rPr>
        <w:t xml:space="preserve">research and </w:t>
      </w:r>
      <w:r w:rsidR="004B2550">
        <w:rPr>
          <w:rFonts w:cs="Arial"/>
          <w:spacing w:val="-1"/>
          <w:sz w:val="24"/>
          <w:szCs w:val="24"/>
        </w:rPr>
        <w:t xml:space="preserve">development </w:t>
      </w:r>
      <w:r w:rsidR="000E0D97">
        <w:rPr>
          <w:rFonts w:cs="Arial"/>
          <w:spacing w:val="-1"/>
          <w:sz w:val="24"/>
          <w:szCs w:val="24"/>
        </w:rPr>
        <w:t xml:space="preserve">of </w:t>
      </w:r>
      <w:r w:rsidR="002D18E8">
        <w:rPr>
          <w:rFonts w:cs="Arial"/>
          <w:spacing w:val="-1"/>
          <w:sz w:val="24"/>
          <w:szCs w:val="24"/>
        </w:rPr>
        <w:t xml:space="preserve">new </w:t>
      </w:r>
      <w:r w:rsidR="000E0D97">
        <w:rPr>
          <w:rFonts w:cs="Arial"/>
          <w:spacing w:val="-1"/>
          <w:sz w:val="24"/>
          <w:szCs w:val="24"/>
        </w:rPr>
        <w:t xml:space="preserve">dental restorative materials </w:t>
      </w:r>
      <w:r w:rsidR="004B2550">
        <w:rPr>
          <w:rFonts w:cs="Arial"/>
          <w:spacing w:val="-1"/>
          <w:sz w:val="24"/>
          <w:szCs w:val="24"/>
        </w:rPr>
        <w:t xml:space="preserve">with </w:t>
      </w:r>
      <w:r w:rsidR="008D6B43">
        <w:rPr>
          <w:rFonts w:cs="Arial"/>
          <w:spacing w:val="-1"/>
          <w:sz w:val="24"/>
          <w:szCs w:val="24"/>
        </w:rPr>
        <w:t>improved quality</w:t>
      </w:r>
      <w:r w:rsidR="00677D1E">
        <w:rPr>
          <w:rFonts w:cs="Arial"/>
          <w:spacing w:val="-1"/>
          <w:sz w:val="24"/>
          <w:szCs w:val="24"/>
        </w:rPr>
        <w:t xml:space="preserve">, </w:t>
      </w:r>
      <w:r w:rsidR="00B501DA">
        <w:rPr>
          <w:rFonts w:cs="Arial"/>
          <w:spacing w:val="-1"/>
          <w:sz w:val="24"/>
          <w:szCs w:val="24"/>
        </w:rPr>
        <w:t>safety</w:t>
      </w:r>
      <w:r w:rsidR="006331D8">
        <w:rPr>
          <w:rFonts w:cs="Arial"/>
          <w:spacing w:val="-1"/>
          <w:sz w:val="24"/>
          <w:szCs w:val="24"/>
        </w:rPr>
        <w:t>,</w:t>
      </w:r>
      <w:r w:rsidR="008D6B43">
        <w:rPr>
          <w:rFonts w:cs="Arial"/>
          <w:spacing w:val="-1"/>
          <w:sz w:val="24"/>
          <w:szCs w:val="24"/>
        </w:rPr>
        <w:t xml:space="preserve"> longevit</w:t>
      </w:r>
      <w:r w:rsidR="00677D1E">
        <w:rPr>
          <w:rFonts w:cs="Arial"/>
          <w:spacing w:val="-1"/>
          <w:sz w:val="24"/>
          <w:szCs w:val="24"/>
        </w:rPr>
        <w:t xml:space="preserve">y </w:t>
      </w:r>
      <w:r w:rsidR="006331D8">
        <w:rPr>
          <w:rFonts w:cs="Arial"/>
          <w:spacing w:val="-1"/>
          <w:sz w:val="24"/>
          <w:szCs w:val="24"/>
        </w:rPr>
        <w:t xml:space="preserve">and adhesive properties </w:t>
      </w:r>
      <w:r w:rsidR="008D6B43" w:rsidRPr="00622554">
        <w:rPr>
          <w:rFonts w:cs="Arial"/>
          <w:spacing w:val="-1"/>
          <w:sz w:val="24"/>
          <w:szCs w:val="24"/>
          <w:lang w:val="en-GB"/>
        </w:rPr>
        <w:t>favo</w:t>
      </w:r>
      <w:r w:rsidR="000F165F" w:rsidRPr="00622554">
        <w:rPr>
          <w:rFonts w:cs="Arial"/>
          <w:spacing w:val="-1"/>
          <w:sz w:val="24"/>
          <w:szCs w:val="24"/>
          <w:lang w:val="en-GB"/>
        </w:rPr>
        <w:t>u</w:t>
      </w:r>
      <w:r w:rsidR="008D6B43" w:rsidRPr="00622554">
        <w:rPr>
          <w:rFonts w:cs="Arial"/>
          <w:spacing w:val="-1"/>
          <w:sz w:val="24"/>
          <w:szCs w:val="24"/>
          <w:lang w:val="en-GB"/>
        </w:rPr>
        <w:t>r</w:t>
      </w:r>
      <w:r w:rsidR="008D6B43">
        <w:rPr>
          <w:rFonts w:cs="Arial"/>
          <w:spacing w:val="-1"/>
          <w:sz w:val="24"/>
          <w:szCs w:val="24"/>
        </w:rPr>
        <w:t xml:space="preserve"> </w:t>
      </w:r>
      <w:r w:rsidR="006331D8">
        <w:rPr>
          <w:rFonts w:cs="Arial"/>
          <w:spacing w:val="-1"/>
          <w:sz w:val="24"/>
          <w:szCs w:val="24"/>
        </w:rPr>
        <w:t>a phased</w:t>
      </w:r>
      <w:r w:rsidR="00B50C85">
        <w:rPr>
          <w:rFonts w:cs="Arial"/>
          <w:spacing w:val="-1"/>
          <w:sz w:val="24"/>
          <w:szCs w:val="24"/>
        </w:rPr>
        <w:t xml:space="preserve"> reduction in</w:t>
      </w:r>
      <w:r w:rsidR="008D6B43">
        <w:rPr>
          <w:rFonts w:cs="Arial"/>
          <w:spacing w:val="-1"/>
          <w:sz w:val="24"/>
          <w:szCs w:val="24"/>
        </w:rPr>
        <w:t xml:space="preserve"> the use of dental amalgam.</w:t>
      </w:r>
    </w:p>
    <w:p w14:paraId="5ABFF2BD" w14:textId="77777777" w:rsidR="00066675" w:rsidRPr="00A62BE3" w:rsidRDefault="00066675" w:rsidP="00E6339C">
      <w:pPr>
        <w:pStyle w:val="BodyText"/>
        <w:spacing w:after="120"/>
        <w:ind w:left="142" w:right="142" w:firstLine="0"/>
        <w:jc w:val="both"/>
        <w:rPr>
          <w:rFonts w:cs="Arial"/>
          <w:spacing w:val="-1"/>
          <w:sz w:val="24"/>
          <w:szCs w:val="24"/>
        </w:rPr>
      </w:pPr>
    </w:p>
    <w:p w14:paraId="10D021D1" w14:textId="77777777" w:rsidR="000B2AF6" w:rsidRPr="00A62BE3" w:rsidRDefault="000B2AF6" w:rsidP="00E6339C">
      <w:pPr>
        <w:pStyle w:val="BodyText"/>
        <w:spacing w:after="120"/>
        <w:ind w:left="142" w:right="142" w:firstLine="0"/>
        <w:jc w:val="both"/>
        <w:rPr>
          <w:rFonts w:cs="Arial"/>
          <w:b/>
          <w:spacing w:val="-1"/>
          <w:sz w:val="24"/>
          <w:szCs w:val="24"/>
        </w:rPr>
      </w:pPr>
      <w:r w:rsidRPr="00A62BE3">
        <w:rPr>
          <w:rFonts w:cs="Arial"/>
          <w:b/>
          <w:spacing w:val="-1"/>
          <w:sz w:val="24"/>
          <w:szCs w:val="24"/>
        </w:rPr>
        <w:t>SCOPE</w:t>
      </w:r>
    </w:p>
    <w:p w14:paraId="1BAE0AA5" w14:textId="4CC3BC77" w:rsidR="000B2AF6" w:rsidRPr="00A62BE3" w:rsidRDefault="00A24281" w:rsidP="00E6339C">
      <w:pPr>
        <w:pStyle w:val="BodyText"/>
        <w:spacing w:after="120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In 2013, the Minamata Convention on Mercury was agreed </w:t>
      </w:r>
      <w:r w:rsidR="00046491">
        <w:rPr>
          <w:rFonts w:cs="Arial"/>
          <w:spacing w:val="-1"/>
          <w:sz w:val="24"/>
          <w:szCs w:val="24"/>
        </w:rPr>
        <w:t>a</w:t>
      </w:r>
      <w:r w:rsidR="00BA170B">
        <w:rPr>
          <w:rFonts w:cs="Arial"/>
          <w:spacing w:val="-1"/>
          <w:sz w:val="24"/>
          <w:szCs w:val="24"/>
        </w:rPr>
        <w:t>s</w:t>
      </w:r>
      <w:r w:rsidR="00942B72">
        <w:rPr>
          <w:rFonts w:cs="Arial"/>
          <w:spacing w:val="-1"/>
          <w:sz w:val="24"/>
          <w:szCs w:val="24"/>
        </w:rPr>
        <w:t xml:space="preserve"> </w:t>
      </w:r>
      <w:r w:rsidR="00BA170B">
        <w:rPr>
          <w:rFonts w:cs="Arial"/>
          <w:spacing w:val="-1"/>
          <w:sz w:val="24"/>
          <w:szCs w:val="24"/>
        </w:rPr>
        <w:t xml:space="preserve">a </w:t>
      </w:r>
      <w:r w:rsidR="00ED603B">
        <w:rPr>
          <w:rFonts w:cs="Arial"/>
          <w:spacing w:val="-1"/>
          <w:sz w:val="24"/>
          <w:szCs w:val="24"/>
        </w:rPr>
        <w:t>gradual</w:t>
      </w:r>
      <w:r w:rsidR="00942B72">
        <w:rPr>
          <w:rFonts w:cs="Arial"/>
          <w:spacing w:val="-1"/>
          <w:sz w:val="24"/>
          <w:szCs w:val="24"/>
        </w:rPr>
        <w:t xml:space="preserve"> phase down in the use of dental amalgam in restorative treatment</w:t>
      </w:r>
      <w:r w:rsidR="000E0D97">
        <w:rPr>
          <w:rFonts w:cs="Arial"/>
          <w:spacing w:val="-1"/>
          <w:sz w:val="24"/>
          <w:szCs w:val="24"/>
        </w:rPr>
        <w:t>. The convention was</w:t>
      </w:r>
      <w:r w:rsidR="00CD415A">
        <w:rPr>
          <w:rFonts w:cs="Arial"/>
          <w:spacing w:val="-1"/>
          <w:sz w:val="24"/>
          <w:szCs w:val="24"/>
        </w:rPr>
        <w:t xml:space="preserve"> ratified in 2017</w:t>
      </w:r>
      <w:r>
        <w:rPr>
          <w:rFonts w:cs="Arial"/>
          <w:spacing w:val="-1"/>
          <w:sz w:val="24"/>
          <w:szCs w:val="24"/>
        </w:rPr>
        <w:t xml:space="preserve"> </w:t>
      </w:r>
      <w:r w:rsidR="00715D39">
        <w:rPr>
          <w:rFonts w:cs="Arial"/>
          <w:spacing w:val="-1"/>
          <w:sz w:val="24"/>
          <w:szCs w:val="24"/>
        </w:rPr>
        <w:t>making it</w:t>
      </w:r>
      <w:r w:rsidR="00BA170B">
        <w:rPr>
          <w:rFonts w:cs="Arial"/>
          <w:spacing w:val="-1"/>
          <w:sz w:val="24"/>
          <w:szCs w:val="24"/>
        </w:rPr>
        <w:t xml:space="preserve"> necessary</w:t>
      </w:r>
      <w:r w:rsidR="00942B72">
        <w:rPr>
          <w:rFonts w:cs="Arial"/>
          <w:spacing w:val="-1"/>
          <w:sz w:val="24"/>
          <w:szCs w:val="24"/>
        </w:rPr>
        <w:t xml:space="preserve"> to </w:t>
      </w:r>
      <w:r w:rsidR="006B7220">
        <w:rPr>
          <w:rFonts w:cs="Arial"/>
          <w:spacing w:val="-1"/>
          <w:sz w:val="24"/>
          <w:szCs w:val="24"/>
        </w:rPr>
        <w:t xml:space="preserve">strategically plan and </w:t>
      </w:r>
      <w:r>
        <w:rPr>
          <w:rFonts w:cs="Arial"/>
          <w:spacing w:val="-1"/>
          <w:sz w:val="24"/>
          <w:szCs w:val="24"/>
        </w:rPr>
        <w:t>act</w:t>
      </w:r>
      <w:r w:rsidR="00942B72">
        <w:rPr>
          <w:rFonts w:cs="Arial"/>
          <w:spacing w:val="-1"/>
          <w:sz w:val="24"/>
          <w:szCs w:val="24"/>
        </w:rPr>
        <w:t xml:space="preserve"> to reduce the need for restorative treatment</w:t>
      </w:r>
      <w:r w:rsidR="000E0D97">
        <w:rPr>
          <w:rFonts w:cs="Arial"/>
          <w:spacing w:val="-1"/>
          <w:sz w:val="24"/>
          <w:szCs w:val="24"/>
        </w:rPr>
        <w:t xml:space="preserve"> using dental amalgam</w:t>
      </w:r>
      <w:r w:rsidR="00942B72">
        <w:rPr>
          <w:rFonts w:cs="Arial"/>
          <w:spacing w:val="-1"/>
          <w:sz w:val="24"/>
          <w:szCs w:val="24"/>
        </w:rPr>
        <w:t>.</w:t>
      </w:r>
      <w:r w:rsidR="00DD78F2">
        <w:rPr>
          <w:rFonts w:cs="Arial"/>
          <w:spacing w:val="-1"/>
          <w:sz w:val="24"/>
          <w:szCs w:val="24"/>
        </w:rPr>
        <w:t xml:space="preserve"> </w:t>
      </w:r>
      <w:r w:rsidR="00942B72">
        <w:rPr>
          <w:rFonts w:cs="Arial"/>
          <w:spacing w:val="-1"/>
          <w:sz w:val="24"/>
          <w:szCs w:val="24"/>
        </w:rPr>
        <w:t>Emphasi</w:t>
      </w:r>
      <w:r w:rsidR="00EF1ACC">
        <w:rPr>
          <w:rFonts w:cs="Arial"/>
          <w:spacing w:val="-1"/>
          <w:sz w:val="24"/>
          <w:szCs w:val="24"/>
        </w:rPr>
        <w:t>s</w:t>
      </w:r>
      <w:r w:rsidR="00942B72">
        <w:rPr>
          <w:rFonts w:cs="Arial"/>
          <w:spacing w:val="-1"/>
          <w:sz w:val="24"/>
          <w:szCs w:val="24"/>
        </w:rPr>
        <w:t xml:space="preserve"> is also give</w:t>
      </w:r>
      <w:r w:rsidR="00BA170B">
        <w:rPr>
          <w:rFonts w:cs="Arial"/>
          <w:spacing w:val="-1"/>
          <w:sz w:val="24"/>
          <w:szCs w:val="24"/>
        </w:rPr>
        <w:t>n</w:t>
      </w:r>
      <w:r w:rsidR="00942B72">
        <w:rPr>
          <w:rFonts w:cs="Arial"/>
          <w:spacing w:val="-1"/>
          <w:sz w:val="24"/>
          <w:szCs w:val="24"/>
        </w:rPr>
        <w:t xml:space="preserve"> to </w:t>
      </w:r>
      <w:r w:rsidR="00EF1ACC">
        <w:rPr>
          <w:rFonts w:cs="Arial"/>
          <w:spacing w:val="-1"/>
          <w:sz w:val="24"/>
          <w:szCs w:val="24"/>
        </w:rPr>
        <w:t>strengthen</w:t>
      </w:r>
      <w:r>
        <w:rPr>
          <w:rFonts w:cs="Arial"/>
          <w:spacing w:val="-1"/>
          <w:sz w:val="24"/>
          <w:szCs w:val="24"/>
        </w:rPr>
        <w:t>ing</w:t>
      </w:r>
      <w:r w:rsidR="00EF1ACC">
        <w:rPr>
          <w:rFonts w:cs="Arial"/>
          <w:spacing w:val="-1"/>
          <w:sz w:val="24"/>
          <w:szCs w:val="24"/>
        </w:rPr>
        <w:t xml:space="preserve"> </w:t>
      </w:r>
      <w:r w:rsidR="00942B72">
        <w:rPr>
          <w:rFonts w:cs="Arial"/>
          <w:spacing w:val="-1"/>
          <w:sz w:val="24"/>
          <w:szCs w:val="24"/>
        </w:rPr>
        <w:t>dental student</w:t>
      </w:r>
      <w:r>
        <w:rPr>
          <w:rFonts w:cs="Arial"/>
          <w:spacing w:val="-1"/>
          <w:sz w:val="24"/>
          <w:szCs w:val="24"/>
        </w:rPr>
        <w:t>s’</w:t>
      </w:r>
      <w:r w:rsidR="00942B72">
        <w:rPr>
          <w:rFonts w:cs="Arial"/>
          <w:spacing w:val="-1"/>
          <w:sz w:val="24"/>
          <w:szCs w:val="24"/>
        </w:rPr>
        <w:t xml:space="preserve"> curricul</w:t>
      </w:r>
      <w:r>
        <w:rPr>
          <w:rFonts w:cs="Arial"/>
          <w:spacing w:val="-1"/>
          <w:sz w:val="24"/>
          <w:szCs w:val="24"/>
        </w:rPr>
        <w:t>a</w:t>
      </w:r>
      <w:r w:rsidR="00942B72">
        <w:rPr>
          <w:rFonts w:cs="Arial"/>
          <w:spacing w:val="-1"/>
          <w:sz w:val="24"/>
          <w:szCs w:val="24"/>
        </w:rPr>
        <w:t xml:space="preserve"> towards </w:t>
      </w:r>
      <w:r w:rsidR="00EF1ACC">
        <w:rPr>
          <w:rFonts w:cs="Arial"/>
          <w:spacing w:val="-1"/>
          <w:sz w:val="24"/>
          <w:szCs w:val="24"/>
        </w:rPr>
        <w:t>prevention and t</w:t>
      </w:r>
      <w:r w:rsidR="006B7220">
        <w:rPr>
          <w:rFonts w:cs="Arial"/>
          <w:spacing w:val="-1"/>
          <w:sz w:val="24"/>
          <w:szCs w:val="24"/>
        </w:rPr>
        <w:t>eaching alternative</w:t>
      </w:r>
      <w:r w:rsidR="00942B72">
        <w:rPr>
          <w:rFonts w:cs="Arial"/>
          <w:spacing w:val="-1"/>
          <w:sz w:val="24"/>
          <w:szCs w:val="24"/>
        </w:rPr>
        <w:t xml:space="preserve"> restorative materials</w:t>
      </w:r>
      <w:r w:rsidR="00BA170B">
        <w:rPr>
          <w:rFonts w:cs="Arial"/>
          <w:spacing w:val="-1"/>
          <w:sz w:val="24"/>
          <w:szCs w:val="24"/>
        </w:rPr>
        <w:t xml:space="preserve"> and techniques</w:t>
      </w:r>
      <w:r>
        <w:rPr>
          <w:rFonts w:cs="Arial"/>
          <w:spacing w:val="-1"/>
          <w:sz w:val="24"/>
          <w:szCs w:val="24"/>
        </w:rPr>
        <w:t>,</w:t>
      </w:r>
      <w:r w:rsidR="006B7220">
        <w:rPr>
          <w:rFonts w:cs="Arial"/>
          <w:spacing w:val="-1"/>
          <w:sz w:val="24"/>
          <w:szCs w:val="24"/>
        </w:rPr>
        <w:t xml:space="preserve"> including </w:t>
      </w:r>
      <w:r>
        <w:rPr>
          <w:rFonts w:cs="Arial"/>
          <w:spacing w:val="-1"/>
          <w:sz w:val="24"/>
          <w:szCs w:val="24"/>
        </w:rPr>
        <w:t xml:space="preserve">the </w:t>
      </w:r>
      <w:r w:rsidR="008067BC">
        <w:rPr>
          <w:rFonts w:cs="Arial"/>
          <w:spacing w:val="-1"/>
          <w:sz w:val="24"/>
          <w:szCs w:val="24"/>
        </w:rPr>
        <w:t>minimum intervention</w:t>
      </w:r>
      <w:r w:rsidR="006B7220">
        <w:rPr>
          <w:rFonts w:cs="Arial"/>
          <w:spacing w:val="-1"/>
          <w:sz w:val="24"/>
          <w:szCs w:val="24"/>
        </w:rPr>
        <w:t xml:space="preserve"> approach</w:t>
      </w:r>
      <w:r>
        <w:rPr>
          <w:rFonts w:cs="Arial"/>
          <w:spacing w:val="-1"/>
          <w:sz w:val="24"/>
          <w:szCs w:val="24"/>
        </w:rPr>
        <w:t>,</w:t>
      </w:r>
      <w:r w:rsidR="00EF1ACC">
        <w:rPr>
          <w:rFonts w:cs="Arial"/>
          <w:spacing w:val="-1"/>
          <w:sz w:val="24"/>
          <w:szCs w:val="24"/>
        </w:rPr>
        <w:t xml:space="preserve"> where </w:t>
      </w:r>
      <w:r w:rsidR="00053A3E">
        <w:rPr>
          <w:rFonts w:cs="Arial"/>
          <w:spacing w:val="-1"/>
          <w:sz w:val="24"/>
          <w:szCs w:val="24"/>
        </w:rPr>
        <w:t>appropriate</w:t>
      </w:r>
      <w:r w:rsidR="00942B72">
        <w:rPr>
          <w:rFonts w:cs="Arial"/>
          <w:spacing w:val="-1"/>
          <w:sz w:val="24"/>
          <w:szCs w:val="24"/>
        </w:rPr>
        <w:t xml:space="preserve">. </w:t>
      </w:r>
    </w:p>
    <w:p w14:paraId="7EDB2CDC" w14:textId="77777777" w:rsidR="000B2AF6" w:rsidRPr="00A62BE3" w:rsidRDefault="000B2AF6" w:rsidP="00E6339C">
      <w:pPr>
        <w:pStyle w:val="BodyText"/>
        <w:spacing w:after="120"/>
        <w:ind w:left="142" w:right="142" w:firstLine="0"/>
        <w:jc w:val="both"/>
        <w:rPr>
          <w:rFonts w:cs="Arial"/>
          <w:spacing w:val="-1"/>
          <w:sz w:val="24"/>
          <w:szCs w:val="24"/>
        </w:rPr>
      </w:pPr>
    </w:p>
    <w:p w14:paraId="3954FAB8" w14:textId="77777777" w:rsidR="000B2AF6" w:rsidRPr="00A62BE3" w:rsidRDefault="000B2AF6" w:rsidP="00E6339C">
      <w:pPr>
        <w:pStyle w:val="BodyText"/>
        <w:spacing w:after="120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 w:rsidRPr="00A62BE3">
        <w:rPr>
          <w:rFonts w:cs="Arial"/>
          <w:b/>
          <w:spacing w:val="-1"/>
          <w:sz w:val="24"/>
          <w:szCs w:val="24"/>
        </w:rPr>
        <w:t>DEFINITIONS</w:t>
      </w:r>
    </w:p>
    <w:p w14:paraId="0C2335FF" w14:textId="5C7688B0" w:rsidR="006B7220" w:rsidRDefault="00DB49EC" w:rsidP="00D07786">
      <w:pPr>
        <w:pStyle w:val="BodyText"/>
        <w:numPr>
          <w:ilvl w:val="0"/>
          <w:numId w:val="7"/>
        </w:numPr>
        <w:ind w:right="142"/>
        <w:jc w:val="both"/>
        <w:rPr>
          <w:rFonts w:cs="Arial"/>
          <w:spacing w:val="-1"/>
          <w:sz w:val="24"/>
          <w:szCs w:val="24"/>
        </w:rPr>
      </w:pPr>
      <w:r w:rsidRPr="00D07786">
        <w:rPr>
          <w:rFonts w:cs="Arial"/>
          <w:b/>
          <w:spacing w:val="-1"/>
          <w:sz w:val="24"/>
          <w:szCs w:val="24"/>
        </w:rPr>
        <w:t>Minamata Convention on Mercury</w:t>
      </w:r>
      <w:r>
        <w:rPr>
          <w:rFonts w:cs="Arial"/>
          <w:spacing w:val="-1"/>
          <w:sz w:val="24"/>
          <w:szCs w:val="24"/>
        </w:rPr>
        <w:t xml:space="preserve">: </w:t>
      </w:r>
      <w:r w:rsidR="000E0D97">
        <w:rPr>
          <w:rFonts w:cs="Arial"/>
          <w:spacing w:val="-1"/>
          <w:sz w:val="24"/>
          <w:szCs w:val="24"/>
        </w:rPr>
        <w:t>A</w:t>
      </w:r>
      <w:r w:rsidR="00046491"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>global treaty to protect human health and the environment from the adverse effects of mercury</w:t>
      </w:r>
      <w:r w:rsidR="006B7220">
        <w:rPr>
          <w:rFonts w:cs="Arial"/>
          <w:spacing w:val="-1"/>
          <w:sz w:val="24"/>
          <w:szCs w:val="24"/>
        </w:rPr>
        <w:t xml:space="preserve">. </w:t>
      </w:r>
    </w:p>
    <w:p w14:paraId="3DDB2040" w14:textId="69DAE866" w:rsidR="000B2AF6" w:rsidRPr="000B2AF6" w:rsidRDefault="00DA2D01" w:rsidP="00D07786">
      <w:pPr>
        <w:pStyle w:val="BodyText"/>
        <w:numPr>
          <w:ilvl w:val="0"/>
          <w:numId w:val="7"/>
        </w:numPr>
        <w:ind w:right="142"/>
        <w:jc w:val="both"/>
        <w:rPr>
          <w:rFonts w:cs="Arial"/>
          <w:spacing w:val="-1"/>
          <w:sz w:val="24"/>
          <w:szCs w:val="24"/>
        </w:rPr>
      </w:pPr>
      <w:r w:rsidRPr="00D07786">
        <w:rPr>
          <w:rFonts w:cs="Arial"/>
          <w:b/>
          <w:spacing w:val="-1"/>
          <w:sz w:val="24"/>
          <w:szCs w:val="24"/>
        </w:rPr>
        <w:t>Phase</w:t>
      </w:r>
      <w:r w:rsidR="00046491" w:rsidRPr="00D07786">
        <w:rPr>
          <w:rFonts w:cs="Arial"/>
          <w:b/>
          <w:spacing w:val="-1"/>
          <w:sz w:val="24"/>
          <w:szCs w:val="24"/>
        </w:rPr>
        <w:t xml:space="preserve"> </w:t>
      </w:r>
      <w:r w:rsidRPr="00D07786">
        <w:rPr>
          <w:rFonts w:cs="Arial"/>
          <w:b/>
          <w:spacing w:val="-1"/>
          <w:sz w:val="24"/>
          <w:szCs w:val="24"/>
        </w:rPr>
        <w:t>down of dental amalgam</w:t>
      </w:r>
      <w:r w:rsidR="006B7220">
        <w:rPr>
          <w:rFonts w:cs="Arial"/>
          <w:spacing w:val="-1"/>
          <w:sz w:val="24"/>
          <w:szCs w:val="24"/>
        </w:rPr>
        <w:t>:</w:t>
      </w:r>
      <w:r w:rsidR="00BA170B">
        <w:rPr>
          <w:rFonts w:cs="Arial"/>
          <w:spacing w:val="-1"/>
          <w:sz w:val="24"/>
          <w:szCs w:val="24"/>
        </w:rPr>
        <w:t xml:space="preserve"> </w:t>
      </w:r>
      <w:r w:rsidR="000E0D97">
        <w:rPr>
          <w:rFonts w:cs="Arial"/>
          <w:spacing w:val="-1"/>
          <w:sz w:val="24"/>
          <w:szCs w:val="24"/>
        </w:rPr>
        <w:t>A</w:t>
      </w:r>
      <w:r w:rsidR="00046491">
        <w:rPr>
          <w:rFonts w:cs="Arial"/>
          <w:spacing w:val="-1"/>
          <w:sz w:val="24"/>
          <w:szCs w:val="24"/>
        </w:rPr>
        <w:t xml:space="preserve"> </w:t>
      </w:r>
      <w:r w:rsidRPr="00DA2D01">
        <w:rPr>
          <w:rFonts w:cs="Arial"/>
          <w:spacing w:val="-1"/>
          <w:sz w:val="24"/>
          <w:szCs w:val="24"/>
        </w:rPr>
        <w:t xml:space="preserve">task to reduce the use of dental amalgam </w:t>
      </w:r>
      <w:r w:rsidR="003C5BA5">
        <w:rPr>
          <w:rFonts w:cs="Arial"/>
          <w:spacing w:val="-1"/>
          <w:sz w:val="24"/>
          <w:szCs w:val="24"/>
        </w:rPr>
        <w:t>through</w:t>
      </w:r>
      <w:r w:rsidR="003C5BA5" w:rsidRPr="00DA2D01">
        <w:rPr>
          <w:rFonts w:cs="Arial"/>
          <w:spacing w:val="-1"/>
          <w:sz w:val="24"/>
          <w:szCs w:val="24"/>
        </w:rPr>
        <w:t xml:space="preserve"> </w:t>
      </w:r>
      <w:r w:rsidRPr="00DA2D01">
        <w:rPr>
          <w:rFonts w:cs="Arial"/>
          <w:spacing w:val="-1"/>
          <w:sz w:val="24"/>
          <w:szCs w:val="24"/>
        </w:rPr>
        <w:t>increased prevention, health promotion</w:t>
      </w:r>
      <w:r w:rsidR="000F165F">
        <w:rPr>
          <w:rFonts w:cs="Arial"/>
          <w:spacing w:val="-1"/>
          <w:sz w:val="24"/>
          <w:szCs w:val="24"/>
        </w:rPr>
        <w:t>,</w:t>
      </w:r>
      <w:r w:rsidRPr="00DA2D01">
        <w:rPr>
          <w:rFonts w:cs="Arial"/>
          <w:spacing w:val="-1"/>
          <w:sz w:val="24"/>
          <w:szCs w:val="24"/>
        </w:rPr>
        <w:t xml:space="preserve"> and research on advanced restorative materials</w:t>
      </w:r>
      <w:r w:rsidR="006B7220">
        <w:rPr>
          <w:rFonts w:cs="Arial"/>
          <w:spacing w:val="-1"/>
          <w:sz w:val="24"/>
          <w:szCs w:val="24"/>
        </w:rPr>
        <w:t xml:space="preserve"> and techniques</w:t>
      </w:r>
      <w:r w:rsidR="003C5BA5">
        <w:rPr>
          <w:rFonts w:cs="Arial"/>
          <w:spacing w:val="-1"/>
          <w:sz w:val="24"/>
          <w:szCs w:val="24"/>
        </w:rPr>
        <w:t xml:space="preserve"> –</w:t>
      </w:r>
      <w:r w:rsidR="008067BC">
        <w:rPr>
          <w:rFonts w:cs="Arial"/>
          <w:spacing w:val="-1"/>
          <w:sz w:val="24"/>
          <w:szCs w:val="24"/>
        </w:rPr>
        <w:t xml:space="preserve"> maintaining or improving adequate clinical performance</w:t>
      </w:r>
      <w:r w:rsidR="007E16DA">
        <w:rPr>
          <w:rFonts w:cs="Arial"/>
          <w:spacing w:val="-1"/>
          <w:sz w:val="24"/>
          <w:szCs w:val="24"/>
        </w:rPr>
        <w:t>.</w:t>
      </w:r>
      <w:r w:rsidRPr="00DA2D01">
        <w:rPr>
          <w:rFonts w:cs="Arial"/>
          <w:spacing w:val="-1"/>
          <w:sz w:val="24"/>
          <w:szCs w:val="24"/>
        </w:rPr>
        <w:t xml:space="preserve"> </w:t>
      </w:r>
    </w:p>
    <w:p w14:paraId="1A70FBF6" w14:textId="77777777" w:rsidR="000B2AF6" w:rsidRPr="00A62BE3" w:rsidRDefault="000B2AF6" w:rsidP="00E6339C">
      <w:pPr>
        <w:pStyle w:val="BodyText"/>
        <w:spacing w:after="120"/>
        <w:ind w:left="142" w:right="142" w:firstLine="0"/>
        <w:jc w:val="both"/>
        <w:rPr>
          <w:rFonts w:cs="Arial"/>
          <w:spacing w:val="-1"/>
          <w:sz w:val="24"/>
          <w:szCs w:val="24"/>
        </w:rPr>
      </w:pPr>
    </w:p>
    <w:p w14:paraId="7B7ED57E" w14:textId="77777777" w:rsidR="000B2AF6" w:rsidRPr="00A62BE3" w:rsidRDefault="000B2AF6" w:rsidP="00E6339C">
      <w:pPr>
        <w:pStyle w:val="BodyText"/>
        <w:spacing w:after="120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 w:rsidRPr="00A62BE3">
        <w:rPr>
          <w:rFonts w:cs="Arial"/>
          <w:b/>
          <w:spacing w:val="-1"/>
          <w:sz w:val="24"/>
          <w:szCs w:val="24"/>
        </w:rPr>
        <w:t>PRINCIPLES</w:t>
      </w:r>
    </w:p>
    <w:p w14:paraId="4BD14DC4" w14:textId="479D7864" w:rsidR="00A1188F" w:rsidRDefault="00A1188F" w:rsidP="00A1188F">
      <w:pPr>
        <w:pStyle w:val="BodyText"/>
        <w:spacing w:after="120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FDI and its </w:t>
      </w:r>
      <w:r w:rsidR="00D07786">
        <w:rPr>
          <w:rFonts w:cs="Arial"/>
          <w:spacing w:val="-1"/>
          <w:sz w:val="24"/>
          <w:szCs w:val="24"/>
        </w:rPr>
        <w:t>partners (</w:t>
      </w:r>
      <w:r w:rsidR="00866CFC">
        <w:rPr>
          <w:rFonts w:cs="Arial"/>
          <w:spacing w:val="-1"/>
          <w:sz w:val="24"/>
          <w:szCs w:val="24"/>
        </w:rPr>
        <w:t xml:space="preserve">mainly </w:t>
      </w:r>
      <w:r w:rsidR="00DD78F2">
        <w:rPr>
          <w:rFonts w:cs="Arial"/>
          <w:spacing w:val="-1"/>
          <w:sz w:val="24"/>
          <w:szCs w:val="24"/>
        </w:rPr>
        <w:t>N</w:t>
      </w:r>
      <w:r w:rsidR="00CD415A">
        <w:rPr>
          <w:rFonts w:cs="Arial"/>
          <w:spacing w:val="-1"/>
          <w:sz w:val="24"/>
          <w:szCs w:val="24"/>
        </w:rPr>
        <w:t xml:space="preserve">ational </w:t>
      </w:r>
      <w:r w:rsidR="00DD78F2">
        <w:rPr>
          <w:rFonts w:cs="Arial"/>
          <w:spacing w:val="-1"/>
          <w:sz w:val="24"/>
          <w:szCs w:val="24"/>
        </w:rPr>
        <w:t>De</w:t>
      </w:r>
      <w:r w:rsidR="00CD415A">
        <w:rPr>
          <w:rFonts w:cs="Arial"/>
          <w:spacing w:val="-1"/>
          <w:sz w:val="24"/>
          <w:szCs w:val="24"/>
        </w:rPr>
        <w:t xml:space="preserve">ntal </w:t>
      </w:r>
      <w:r w:rsidR="00DD78F2">
        <w:rPr>
          <w:rFonts w:cs="Arial"/>
          <w:spacing w:val="-1"/>
          <w:sz w:val="24"/>
          <w:szCs w:val="24"/>
        </w:rPr>
        <w:t>A</w:t>
      </w:r>
      <w:r w:rsidR="00CD415A">
        <w:rPr>
          <w:rFonts w:cs="Arial"/>
          <w:spacing w:val="-1"/>
          <w:sz w:val="24"/>
          <w:szCs w:val="24"/>
        </w:rPr>
        <w:t>ssociations)</w:t>
      </w:r>
      <w:r>
        <w:rPr>
          <w:rFonts w:cs="Arial"/>
          <w:spacing w:val="-1"/>
          <w:sz w:val="24"/>
          <w:szCs w:val="24"/>
        </w:rPr>
        <w:t xml:space="preserve"> support the World Health Organization in the phase</w:t>
      </w:r>
      <w:r w:rsidR="003C5BA5"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>down of dental amalgam</w:t>
      </w:r>
      <w:r w:rsidR="00053A3E">
        <w:rPr>
          <w:rFonts w:cs="Arial"/>
          <w:spacing w:val="-1"/>
          <w:sz w:val="24"/>
          <w:szCs w:val="24"/>
        </w:rPr>
        <w:t xml:space="preserve"> use</w:t>
      </w:r>
      <w:r w:rsidR="00202D6C">
        <w:rPr>
          <w:rFonts w:cs="Arial"/>
          <w:spacing w:val="-1"/>
          <w:sz w:val="24"/>
          <w:szCs w:val="24"/>
        </w:rPr>
        <w:t xml:space="preserve"> </w:t>
      </w:r>
      <w:r w:rsidR="00202D6C" w:rsidRPr="00202D6C">
        <w:rPr>
          <w:rFonts w:cs="Arial"/>
          <w:spacing w:val="-1"/>
          <w:sz w:val="24"/>
          <w:szCs w:val="24"/>
        </w:rPr>
        <w:t>through increase</w:t>
      </w:r>
      <w:r w:rsidR="00B342B3">
        <w:rPr>
          <w:rFonts w:cs="Arial"/>
          <w:spacing w:val="-1"/>
          <w:sz w:val="24"/>
          <w:szCs w:val="24"/>
        </w:rPr>
        <w:t>d</w:t>
      </w:r>
      <w:r w:rsidR="00202D6C" w:rsidRPr="00202D6C">
        <w:rPr>
          <w:rFonts w:cs="Arial"/>
          <w:spacing w:val="-1"/>
          <w:sz w:val="24"/>
          <w:szCs w:val="24"/>
        </w:rPr>
        <w:t xml:space="preserve"> emphasis on prevention and research into alternative treatment </w:t>
      </w:r>
      <w:r w:rsidR="00715D39" w:rsidRPr="00202D6C">
        <w:rPr>
          <w:rFonts w:cs="Arial"/>
          <w:spacing w:val="-1"/>
          <w:sz w:val="24"/>
          <w:szCs w:val="24"/>
        </w:rPr>
        <w:t>options.</w:t>
      </w:r>
      <w:r>
        <w:rPr>
          <w:rFonts w:cs="Arial"/>
          <w:spacing w:val="-1"/>
          <w:sz w:val="24"/>
          <w:szCs w:val="24"/>
        </w:rPr>
        <w:t xml:space="preserve"> </w:t>
      </w:r>
      <w:r w:rsidR="00053A3E">
        <w:rPr>
          <w:rFonts w:cs="Arial"/>
          <w:spacing w:val="-1"/>
          <w:sz w:val="24"/>
          <w:szCs w:val="24"/>
        </w:rPr>
        <w:t>Dental treatment should</w:t>
      </w:r>
      <w:r w:rsidR="00DB49EC" w:rsidRPr="00DA2D01">
        <w:rPr>
          <w:rFonts w:cs="Arial"/>
          <w:spacing w:val="-1"/>
          <w:sz w:val="24"/>
          <w:szCs w:val="24"/>
        </w:rPr>
        <w:t xml:space="preserve"> ensure that dental </w:t>
      </w:r>
      <w:r w:rsidR="00866CFC">
        <w:rPr>
          <w:rFonts w:cs="Arial"/>
          <w:spacing w:val="-1"/>
          <w:sz w:val="24"/>
          <w:szCs w:val="24"/>
        </w:rPr>
        <w:t xml:space="preserve">restorative </w:t>
      </w:r>
      <w:r w:rsidR="00DB49EC" w:rsidRPr="00DA2D01">
        <w:rPr>
          <w:rFonts w:cs="Arial"/>
          <w:spacing w:val="-1"/>
          <w:sz w:val="24"/>
          <w:szCs w:val="24"/>
        </w:rPr>
        <w:t xml:space="preserve">materials continue to be used in a </w:t>
      </w:r>
      <w:r w:rsidR="001930FF">
        <w:rPr>
          <w:rFonts w:cs="Arial"/>
          <w:spacing w:val="-1"/>
          <w:sz w:val="24"/>
          <w:szCs w:val="24"/>
        </w:rPr>
        <w:t xml:space="preserve">safe and effective </w:t>
      </w:r>
      <w:r w:rsidR="00DB49EC" w:rsidRPr="00DA2D01">
        <w:rPr>
          <w:rFonts w:cs="Arial"/>
          <w:spacing w:val="-1"/>
          <w:sz w:val="24"/>
          <w:szCs w:val="24"/>
        </w:rPr>
        <w:t xml:space="preserve">manner </w:t>
      </w:r>
      <w:r w:rsidR="001930FF">
        <w:rPr>
          <w:rFonts w:cs="Arial"/>
          <w:spacing w:val="-1"/>
          <w:sz w:val="24"/>
          <w:szCs w:val="24"/>
        </w:rPr>
        <w:t>for the</w:t>
      </w:r>
      <w:r w:rsidR="00F678BC">
        <w:rPr>
          <w:rFonts w:cs="Arial"/>
          <w:spacing w:val="-1"/>
          <w:sz w:val="24"/>
          <w:szCs w:val="24"/>
        </w:rPr>
        <w:t xml:space="preserve"> patient</w:t>
      </w:r>
      <w:r w:rsidR="001930FF">
        <w:rPr>
          <w:rFonts w:cs="Arial"/>
          <w:spacing w:val="-1"/>
          <w:sz w:val="24"/>
          <w:szCs w:val="24"/>
        </w:rPr>
        <w:t>,</w:t>
      </w:r>
      <w:r w:rsidR="00F678BC">
        <w:rPr>
          <w:rFonts w:cs="Arial"/>
          <w:spacing w:val="-1"/>
          <w:sz w:val="24"/>
          <w:szCs w:val="24"/>
        </w:rPr>
        <w:t xml:space="preserve"> </w:t>
      </w:r>
      <w:r w:rsidR="003C5BA5">
        <w:rPr>
          <w:rFonts w:cs="Arial"/>
          <w:spacing w:val="-1"/>
          <w:sz w:val="24"/>
          <w:szCs w:val="24"/>
        </w:rPr>
        <w:t>while respecting</w:t>
      </w:r>
      <w:r w:rsidR="00DB49EC" w:rsidRPr="00DA2D01">
        <w:rPr>
          <w:rFonts w:cs="Arial"/>
          <w:spacing w:val="-1"/>
          <w:sz w:val="24"/>
          <w:szCs w:val="24"/>
        </w:rPr>
        <w:t xml:space="preserve"> the environment</w:t>
      </w:r>
      <w:r w:rsidR="00DB49EC">
        <w:rPr>
          <w:rFonts w:cs="Arial"/>
          <w:spacing w:val="-1"/>
          <w:sz w:val="24"/>
          <w:szCs w:val="24"/>
        </w:rPr>
        <w:t>.</w:t>
      </w:r>
    </w:p>
    <w:p w14:paraId="37A12FF2" w14:textId="77777777" w:rsidR="000B2AF6" w:rsidRPr="00A62BE3" w:rsidRDefault="000B2AF6" w:rsidP="00E6339C">
      <w:pPr>
        <w:pStyle w:val="BodyText"/>
        <w:spacing w:after="120"/>
        <w:ind w:left="142" w:right="142" w:firstLine="0"/>
        <w:jc w:val="both"/>
        <w:rPr>
          <w:rFonts w:cs="Arial"/>
          <w:spacing w:val="-1"/>
          <w:sz w:val="24"/>
          <w:szCs w:val="24"/>
        </w:rPr>
      </w:pPr>
    </w:p>
    <w:p w14:paraId="3DB9254A" w14:textId="77777777" w:rsidR="000B2AF6" w:rsidRPr="00A62BE3" w:rsidRDefault="000B2AF6" w:rsidP="00E6339C">
      <w:pPr>
        <w:pStyle w:val="BodyText"/>
        <w:spacing w:after="120"/>
        <w:ind w:left="142" w:right="142" w:firstLine="0"/>
        <w:jc w:val="both"/>
        <w:rPr>
          <w:rFonts w:cs="Arial"/>
          <w:b/>
          <w:spacing w:val="-1"/>
          <w:sz w:val="24"/>
          <w:szCs w:val="24"/>
        </w:rPr>
      </w:pPr>
      <w:r w:rsidRPr="00A62BE3">
        <w:rPr>
          <w:rFonts w:cs="Arial"/>
          <w:b/>
          <w:spacing w:val="-1"/>
          <w:sz w:val="24"/>
          <w:szCs w:val="24"/>
        </w:rPr>
        <w:t>POLICY</w:t>
      </w:r>
    </w:p>
    <w:p w14:paraId="02D86193" w14:textId="6CFC81C4" w:rsidR="00E11280" w:rsidRDefault="00A1188F" w:rsidP="00933075">
      <w:pPr>
        <w:pStyle w:val="BodyText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 w:rsidRPr="00A1188F">
        <w:rPr>
          <w:rFonts w:cs="Arial"/>
          <w:spacing w:val="-1"/>
          <w:sz w:val="24"/>
          <w:szCs w:val="24"/>
        </w:rPr>
        <w:t>FDI supports</w:t>
      </w:r>
      <w:r>
        <w:rPr>
          <w:rFonts w:cs="Arial"/>
          <w:spacing w:val="-1"/>
          <w:sz w:val="24"/>
          <w:szCs w:val="24"/>
        </w:rPr>
        <w:t xml:space="preserve"> a </w:t>
      </w:r>
      <w:r w:rsidR="00715D39">
        <w:rPr>
          <w:rFonts w:cs="Arial"/>
          <w:spacing w:val="-1"/>
          <w:sz w:val="24"/>
          <w:szCs w:val="24"/>
        </w:rPr>
        <w:t>gradual phase</w:t>
      </w:r>
      <w:r w:rsidR="009509D4"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 xml:space="preserve">down </w:t>
      </w:r>
      <w:r w:rsidR="00DB49EC">
        <w:rPr>
          <w:rFonts w:cs="Arial"/>
          <w:spacing w:val="-1"/>
          <w:sz w:val="24"/>
          <w:szCs w:val="24"/>
        </w:rPr>
        <w:t xml:space="preserve">in </w:t>
      </w:r>
      <w:r>
        <w:rPr>
          <w:rFonts w:cs="Arial"/>
          <w:spacing w:val="-1"/>
          <w:sz w:val="24"/>
          <w:szCs w:val="24"/>
        </w:rPr>
        <w:t>the use of dental amalgam</w:t>
      </w:r>
      <w:r w:rsidR="00202D6C">
        <w:rPr>
          <w:rFonts w:cs="Arial"/>
          <w:spacing w:val="-1"/>
          <w:sz w:val="24"/>
          <w:szCs w:val="24"/>
        </w:rPr>
        <w:t xml:space="preserve"> </w:t>
      </w:r>
      <w:r w:rsidR="00202D6C" w:rsidRPr="00202D6C">
        <w:rPr>
          <w:rFonts w:cs="Arial"/>
          <w:spacing w:val="-1"/>
          <w:sz w:val="24"/>
          <w:szCs w:val="24"/>
        </w:rPr>
        <w:t>through an increased emphasis on prevention and research</w:t>
      </w:r>
      <w:r w:rsidR="00C70413">
        <w:rPr>
          <w:rFonts w:cs="Arial"/>
          <w:spacing w:val="-1"/>
          <w:sz w:val="24"/>
          <w:szCs w:val="24"/>
        </w:rPr>
        <w:t>.</w:t>
      </w:r>
      <w:r>
        <w:rPr>
          <w:rFonts w:cs="Arial"/>
          <w:spacing w:val="-1"/>
          <w:sz w:val="24"/>
          <w:szCs w:val="24"/>
        </w:rPr>
        <w:t xml:space="preserve"> </w:t>
      </w:r>
      <w:r w:rsidR="00C70413">
        <w:rPr>
          <w:rFonts w:cs="Arial"/>
          <w:spacing w:val="-1"/>
          <w:sz w:val="24"/>
          <w:szCs w:val="24"/>
        </w:rPr>
        <w:t xml:space="preserve">These </w:t>
      </w:r>
      <w:r w:rsidR="00671977">
        <w:rPr>
          <w:rFonts w:cs="Arial"/>
          <w:spacing w:val="-1"/>
          <w:sz w:val="24"/>
          <w:szCs w:val="24"/>
        </w:rPr>
        <w:t xml:space="preserve">measures </w:t>
      </w:r>
      <w:r w:rsidR="00C70413">
        <w:rPr>
          <w:rFonts w:cs="Arial"/>
          <w:spacing w:val="-1"/>
          <w:sz w:val="24"/>
          <w:szCs w:val="24"/>
        </w:rPr>
        <w:t xml:space="preserve">should be accompanied by appropriate </w:t>
      </w:r>
      <w:r w:rsidR="00671977" w:rsidRPr="00B50C85">
        <w:rPr>
          <w:sz w:val="24"/>
          <w:szCs w:val="24"/>
        </w:rPr>
        <w:t xml:space="preserve">teaching of other </w:t>
      </w:r>
      <w:r w:rsidR="008067BC">
        <w:rPr>
          <w:sz w:val="24"/>
          <w:szCs w:val="24"/>
        </w:rPr>
        <w:t xml:space="preserve">restorative </w:t>
      </w:r>
      <w:r w:rsidR="00671977" w:rsidRPr="00B50C85">
        <w:rPr>
          <w:sz w:val="24"/>
          <w:szCs w:val="24"/>
        </w:rPr>
        <w:t>materials</w:t>
      </w:r>
      <w:r w:rsidR="006B7220">
        <w:rPr>
          <w:sz w:val="24"/>
          <w:szCs w:val="24"/>
        </w:rPr>
        <w:t xml:space="preserve"> and techniques</w:t>
      </w:r>
      <w:r w:rsidR="00671977" w:rsidRPr="00B50C85">
        <w:rPr>
          <w:sz w:val="24"/>
          <w:szCs w:val="24"/>
        </w:rPr>
        <w:t xml:space="preserve"> in universities and </w:t>
      </w:r>
      <w:r w:rsidR="00B92D10">
        <w:rPr>
          <w:sz w:val="24"/>
          <w:szCs w:val="24"/>
        </w:rPr>
        <w:t xml:space="preserve">continuing education </w:t>
      </w:r>
      <w:r w:rsidR="00671977" w:rsidRPr="00B50C85">
        <w:rPr>
          <w:sz w:val="24"/>
          <w:szCs w:val="24"/>
        </w:rPr>
        <w:t>courses</w:t>
      </w:r>
      <w:r w:rsidR="00F4200B">
        <w:rPr>
          <w:sz w:val="24"/>
          <w:szCs w:val="24"/>
        </w:rPr>
        <w:t>.</w:t>
      </w:r>
      <w:r w:rsidR="00671977" w:rsidRPr="008955CE">
        <w:rPr>
          <w:rFonts w:cs="Arial"/>
          <w:spacing w:val="-1"/>
          <w:sz w:val="24"/>
          <w:szCs w:val="24"/>
        </w:rPr>
        <w:t xml:space="preserve"> </w:t>
      </w:r>
    </w:p>
    <w:p w14:paraId="42240823" w14:textId="268553EF" w:rsidR="00E11280" w:rsidRDefault="00E11280" w:rsidP="00E6339C">
      <w:pPr>
        <w:pStyle w:val="BodyText"/>
        <w:ind w:left="142" w:right="142" w:firstLine="0"/>
        <w:jc w:val="both"/>
        <w:rPr>
          <w:rFonts w:cs="Arial"/>
          <w:spacing w:val="-1"/>
          <w:sz w:val="24"/>
          <w:szCs w:val="24"/>
        </w:rPr>
      </w:pPr>
    </w:p>
    <w:p w14:paraId="63F1B736" w14:textId="67E01F2C" w:rsidR="00281FB7" w:rsidRDefault="00281FB7" w:rsidP="00E6339C">
      <w:pPr>
        <w:pStyle w:val="BodyText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 w:rsidRPr="00281FB7">
        <w:rPr>
          <w:rFonts w:cs="Arial"/>
          <w:spacing w:val="-1"/>
          <w:sz w:val="24"/>
          <w:szCs w:val="24"/>
        </w:rPr>
        <w:t>All treatment decisions should be based on</w:t>
      </w:r>
      <w:r w:rsidR="00677D1E">
        <w:rPr>
          <w:rFonts w:cs="Arial"/>
          <w:spacing w:val="-1"/>
          <w:sz w:val="24"/>
          <w:szCs w:val="24"/>
        </w:rPr>
        <w:t xml:space="preserve"> best available</w:t>
      </w:r>
      <w:r w:rsidRPr="00281FB7">
        <w:rPr>
          <w:rFonts w:cs="Arial"/>
          <w:spacing w:val="-1"/>
          <w:sz w:val="24"/>
          <w:szCs w:val="24"/>
        </w:rPr>
        <w:t xml:space="preserve"> scientific evidence, the best interests of the patient and the best clinical judgement by the practitioner while considering the integrity of the environment</w:t>
      </w:r>
      <w:r w:rsidR="002D18E8">
        <w:rPr>
          <w:rFonts w:cs="Arial"/>
          <w:spacing w:val="-1"/>
          <w:sz w:val="24"/>
          <w:szCs w:val="24"/>
        </w:rPr>
        <w:t>.</w:t>
      </w:r>
    </w:p>
    <w:p w14:paraId="0F2AA12E" w14:textId="77777777" w:rsidR="00281FB7" w:rsidRDefault="00281FB7" w:rsidP="00E6339C">
      <w:pPr>
        <w:pStyle w:val="BodyText"/>
        <w:ind w:left="142" w:right="142" w:firstLine="0"/>
        <w:jc w:val="both"/>
        <w:rPr>
          <w:rFonts w:cs="Arial"/>
          <w:spacing w:val="-1"/>
          <w:sz w:val="24"/>
          <w:szCs w:val="24"/>
        </w:rPr>
      </w:pPr>
    </w:p>
    <w:p w14:paraId="7B590858" w14:textId="77777777" w:rsidR="00283735" w:rsidRDefault="004C258C" w:rsidP="003C6147">
      <w:pPr>
        <w:pStyle w:val="BodyText"/>
        <w:ind w:right="142" w:hanging="206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  </w:t>
      </w:r>
      <w:r w:rsidR="00283735">
        <w:rPr>
          <w:rFonts w:cs="Arial"/>
          <w:spacing w:val="-1"/>
          <w:sz w:val="24"/>
          <w:szCs w:val="24"/>
        </w:rPr>
        <w:t>FDI supports t</w:t>
      </w:r>
      <w:r w:rsidR="00671977">
        <w:rPr>
          <w:rFonts w:cs="Arial"/>
          <w:spacing w:val="-1"/>
          <w:sz w:val="24"/>
          <w:szCs w:val="24"/>
        </w:rPr>
        <w:t xml:space="preserve">he following </w:t>
      </w:r>
      <w:r w:rsidR="004B5C47">
        <w:rPr>
          <w:rFonts w:cs="Arial"/>
          <w:spacing w:val="-1"/>
          <w:sz w:val="24"/>
          <w:szCs w:val="24"/>
        </w:rPr>
        <w:t>practices</w:t>
      </w:r>
      <w:r w:rsidR="00671977">
        <w:rPr>
          <w:rFonts w:cs="Arial"/>
          <w:spacing w:val="-1"/>
          <w:sz w:val="24"/>
          <w:szCs w:val="24"/>
        </w:rPr>
        <w:t xml:space="preserve"> in the phase down </w:t>
      </w:r>
      <w:r w:rsidR="00283735">
        <w:rPr>
          <w:rFonts w:cs="Arial"/>
          <w:spacing w:val="-1"/>
          <w:sz w:val="24"/>
          <w:szCs w:val="24"/>
        </w:rPr>
        <w:t>of dental amalgam:</w:t>
      </w:r>
    </w:p>
    <w:p w14:paraId="21A222D0" w14:textId="77777777" w:rsidR="00283735" w:rsidRDefault="004B5C47" w:rsidP="00283735">
      <w:pPr>
        <w:pStyle w:val="BodyText"/>
        <w:ind w:right="142" w:hanging="26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 </w:t>
      </w:r>
    </w:p>
    <w:p w14:paraId="51CEE576" w14:textId="77777777" w:rsidR="007D66CF" w:rsidRDefault="007D66CF" w:rsidP="007D66CF">
      <w:pPr>
        <w:pStyle w:val="BodyText"/>
        <w:numPr>
          <w:ilvl w:val="0"/>
          <w:numId w:val="12"/>
        </w:numPr>
        <w:ind w:right="142"/>
        <w:jc w:val="both"/>
        <w:rPr>
          <w:sz w:val="24"/>
          <w:szCs w:val="24"/>
        </w:rPr>
      </w:pPr>
      <w:r w:rsidRPr="009533FA">
        <w:rPr>
          <w:sz w:val="24"/>
          <w:szCs w:val="24"/>
        </w:rPr>
        <w:t>Increased emphasis on disease p</w:t>
      </w:r>
      <w:r>
        <w:rPr>
          <w:sz w:val="24"/>
          <w:szCs w:val="24"/>
        </w:rPr>
        <w:t xml:space="preserve">revention and health promotion. </w:t>
      </w:r>
    </w:p>
    <w:p w14:paraId="0945B570" w14:textId="77777777" w:rsidR="007D66CF" w:rsidRDefault="007D66CF" w:rsidP="007D66CF">
      <w:pPr>
        <w:pStyle w:val="BodyText"/>
        <w:numPr>
          <w:ilvl w:val="0"/>
          <w:numId w:val="12"/>
        </w:numPr>
        <w:ind w:right="142"/>
        <w:jc w:val="both"/>
        <w:rPr>
          <w:sz w:val="24"/>
          <w:szCs w:val="24"/>
        </w:rPr>
      </w:pPr>
      <w:r w:rsidRPr="009533FA">
        <w:rPr>
          <w:sz w:val="24"/>
          <w:szCs w:val="24"/>
        </w:rPr>
        <w:t>Increased r</w:t>
      </w:r>
      <w:r w:rsidRPr="007D66CF">
        <w:rPr>
          <w:sz w:val="24"/>
          <w:szCs w:val="24"/>
        </w:rPr>
        <w:t xml:space="preserve">esearch and development of quality mercury-free materials for dental restorations </w:t>
      </w:r>
      <w:r w:rsidRPr="00677D1E">
        <w:rPr>
          <w:sz w:val="24"/>
          <w:szCs w:val="24"/>
        </w:rPr>
        <w:t>including their potential environmental impact</w:t>
      </w:r>
      <w:r w:rsidRPr="007D66CF">
        <w:rPr>
          <w:sz w:val="24"/>
          <w:szCs w:val="24"/>
        </w:rPr>
        <w:t xml:space="preserve">. </w:t>
      </w:r>
    </w:p>
    <w:p w14:paraId="524E4DCC" w14:textId="459B4805" w:rsidR="007D66CF" w:rsidRDefault="007D66CF" w:rsidP="007D66CF">
      <w:pPr>
        <w:pStyle w:val="BodyText"/>
        <w:numPr>
          <w:ilvl w:val="0"/>
          <w:numId w:val="12"/>
        </w:numPr>
        <w:ind w:right="142"/>
        <w:jc w:val="both"/>
        <w:rPr>
          <w:sz w:val="24"/>
          <w:szCs w:val="24"/>
        </w:rPr>
      </w:pPr>
      <w:r w:rsidRPr="009533FA">
        <w:rPr>
          <w:sz w:val="24"/>
          <w:szCs w:val="24"/>
        </w:rPr>
        <w:t>Promotion of best environmental management practices for amalgam waste</w:t>
      </w:r>
      <w:r>
        <w:rPr>
          <w:sz w:val="24"/>
          <w:szCs w:val="24"/>
        </w:rPr>
        <w:t xml:space="preserve"> </w:t>
      </w:r>
      <w:r w:rsidR="00DD78F2">
        <w:rPr>
          <w:sz w:val="24"/>
          <w:szCs w:val="24"/>
        </w:rPr>
        <w:t>including encapsulated forms.</w:t>
      </w:r>
    </w:p>
    <w:p w14:paraId="39969E53" w14:textId="2C651EAF" w:rsidR="00DD78F2" w:rsidRDefault="00DD78F2" w:rsidP="00DD78F2">
      <w:pPr>
        <w:pStyle w:val="BodyText"/>
        <w:numPr>
          <w:ilvl w:val="0"/>
          <w:numId w:val="13"/>
        </w:numPr>
        <w:ind w:right="142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Reduce and if possible avoid the use of amalgam particularly in:</w:t>
      </w:r>
    </w:p>
    <w:p w14:paraId="066B1B27" w14:textId="77777777" w:rsidR="00AA3558" w:rsidRPr="00E47BC6" w:rsidRDefault="00AA3558" w:rsidP="00AA3558">
      <w:pPr>
        <w:pStyle w:val="BodyText"/>
        <w:numPr>
          <w:ilvl w:val="1"/>
          <w:numId w:val="13"/>
        </w:numPr>
        <w:ind w:right="142"/>
        <w:jc w:val="both"/>
        <w:rPr>
          <w:rFonts w:cs="Arial"/>
          <w:spacing w:val="-1"/>
          <w:sz w:val="24"/>
          <w:szCs w:val="24"/>
        </w:rPr>
      </w:pPr>
      <w:bookmarkStart w:id="0" w:name="_Hlk523929981"/>
      <w:r w:rsidRPr="00E47BC6">
        <w:rPr>
          <w:rFonts w:cs="Arial"/>
          <w:spacing w:val="-1"/>
          <w:sz w:val="24"/>
          <w:szCs w:val="24"/>
        </w:rPr>
        <w:t xml:space="preserve">lesions that are suitable for other restorative materials, especially in first restorative treatment and young patients; </w:t>
      </w:r>
      <w:bookmarkEnd w:id="0"/>
    </w:p>
    <w:p w14:paraId="7EF58264" w14:textId="3ECE9C9C" w:rsidR="00DD78F2" w:rsidRPr="007D66CF" w:rsidRDefault="00DD78F2" w:rsidP="00DD78F2">
      <w:pPr>
        <w:pStyle w:val="BodyText"/>
        <w:numPr>
          <w:ilvl w:val="0"/>
          <w:numId w:val="9"/>
        </w:numPr>
        <w:ind w:right="142"/>
        <w:jc w:val="both"/>
        <w:rPr>
          <w:rFonts w:cs="Arial"/>
          <w:spacing w:val="-1"/>
          <w:sz w:val="24"/>
          <w:szCs w:val="24"/>
        </w:rPr>
      </w:pPr>
      <w:r w:rsidRPr="007D66CF">
        <w:rPr>
          <w:rFonts w:cs="Arial"/>
          <w:spacing w:val="-1"/>
          <w:sz w:val="24"/>
          <w:szCs w:val="24"/>
        </w:rPr>
        <w:t>patients with special medical conditions</w:t>
      </w:r>
      <w:r>
        <w:rPr>
          <w:rFonts w:cs="Arial"/>
          <w:spacing w:val="-1"/>
          <w:sz w:val="24"/>
          <w:szCs w:val="24"/>
        </w:rPr>
        <w:t>,</w:t>
      </w:r>
      <w:r w:rsidRPr="007D66CF"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 xml:space="preserve">such </w:t>
      </w:r>
      <w:r w:rsidRPr="007D66CF">
        <w:rPr>
          <w:rFonts w:cs="Arial"/>
          <w:spacing w:val="-1"/>
          <w:sz w:val="24"/>
          <w:szCs w:val="24"/>
        </w:rPr>
        <w:t>as severe renal disease or patients with allergic reactions to amalgam or (erosive) lichenoid contact lesions in the oral mucosa</w:t>
      </w:r>
      <w:r>
        <w:rPr>
          <w:rFonts w:cs="Arial"/>
          <w:spacing w:val="-1"/>
          <w:sz w:val="24"/>
          <w:szCs w:val="24"/>
        </w:rPr>
        <w:t>;</w:t>
      </w:r>
    </w:p>
    <w:p w14:paraId="2B983CAD" w14:textId="1890F38F" w:rsidR="00DD78F2" w:rsidRDefault="00DD78F2" w:rsidP="00DD78F2">
      <w:pPr>
        <w:pStyle w:val="BodyText"/>
        <w:ind w:left="900" w:right="142" w:firstLine="0"/>
        <w:jc w:val="both"/>
        <w:rPr>
          <w:sz w:val="24"/>
          <w:szCs w:val="24"/>
        </w:rPr>
      </w:pPr>
      <w:r w:rsidRPr="00CC502C">
        <w:rPr>
          <w:sz w:val="24"/>
          <w:szCs w:val="24"/>
        </w:rPr>
        <w:t>except when deemed necessary by the dental practitioner based on the specific</w:t>
      </w:r>
      <w:r>
        <w:rPr>
          <w:sz w:val="24"/>
          <w:szCs w:val="24"/>
        </w:rPr>
        <w:t xml:space="preserve"> </w:t>
      </w:r>
      <w:r w:rsidRPr="00CC502C">
        <w:rPr>
          <w:sz w:val="24"/>
          <w:szCs w:val="24"/>
        </w:rPr>
        <w:t xml:space="preserve">needs of the patient. </w:t>
      </w:r>
    </w:p>
    <w:p w14:paraId="0BDC6DF9" w14:textId="77777777" w:rsidR="00DD78F2" w:rsidRDefault="00DD78F2" w:rsidP="00DD78F2">
      <w:pPr>
        <w:pStyle w:val="BodyText"/>
        <w:ind w:left="900" w:right="142" w:firstLine="0"/>
        <w:jc w:val="both"/>
        <w:rPr>
          <w:sz w:val="24"/>
          <w:szCs w:val="24"/>
        </w:rPr>
      </w:pPr>
    </w:p>
    <w:p w14:paraId="0F338A9A" w14:textId="77777777" w:rsidR="00DD78F2" w:rsidRPr="004C258C" w:rsidRDefault="00DD78F2" w:rsidP="00DD78F2">
      <w:pPr>
        <w:pStyle w:val="BodyText"/>
        <w:ind w:right="142" w:hanging="206"/>
        <w:jc w:val="both"/>
        <w:rPr>
          <w:rFonts w:cs="Arial"/>
          <w:spacing w:val="-1"/>
          <w:sz w:val="24"/>
          <w:szCs w:val="24"/>
        </w:rPr>
      </w:pPr>
      <w:r w:rsidRPr="004C258C">
        <w:rPr>
          <w:rFonts w:cs="Arial"/>
          <w:spacing w:val="-1"/>
          <w:sz w:val="24"/>
          <w:szCs w:val="24"/>
        </w:rPr>
        <w:t>Th</w:t>
      </w:r>
      <w:r>
        <w:rPr>
          <w:rFonts w:cs="Arial"/>
          <w:spacing w:val="-1"/>
          <w:sz w:val="24"/>
          <w:szCs w:val="24"/>
        </w:rPr>
        <w:t>is policy</w:t>
      </w:r>
      <w:r w:rsidRPr="004C258C">
        <w:rPr>
          <w:rFonts w:cs="Arial"/>
          <w:spacing w:val="-1"/>
          <w:sz w:val="24"/>
          <w:szCs w:val="24"/>
        </w:rPr>
        <w:t xml:space="preserve"> may be implemented differently in various countries.</w:t>
      </w:r>
    </w:p>
    <w:p w14:paraId="4758EFDD" w14:textId="77777777" w:rsidR="00DD78F2" w:rsidRDefault="00DD78F2" w:rsidP="00DD78F2">
      <w:pPr>
        <w:pStyle w:val="BodyText"/>
        <w:ind w:left="900" w:right="142" w:firstLine="0"/>
        <w:jc w:val="both"/>
        <w:rPr>
          <w:sz w:val="24"/>
          <w:szCs w:val="24"/>
        </w:rPr>
      </w:pPr>
    </w:p>
    <w:p w14:paraId="39F6DAC9" w14:textId="77777777" w:rsidR="00DD78F2" w:rsidRDefault="00DD78F2" w:rsidP="00DD78F2">
      <w:pPr>
        <w:pStyle w:val="BodyText"/>
        <w:spacing w:after="120"/>
        <w:ind w:left="142" w:right="142" w:firstLine="0"/>
        <w:jc w:val="both"/>
        <w:rPr>
          <w:rFonts w:cs="Arial"/>
          <w:b/>
          <w:spacing w:val="-1"/>
          <w:sz w:val="24"/>
          <w:szCs w:val="24"/>
        </w:rPr>
      </w:pPr>
      <w:r>
        <w:rPr>
          <w:rFonts w:cs="Arial"/>
          <w:b/>
          <w:spacing w:val="-1"/>
          <w:sz w:val="24"/>
          <w:szCs w:val="24"/>
        </w:rPr>
        <w:t>KEYWORDS</w:t>
      </w:r>
    </w:p>
    <w:p w14:paraId="4E342144" w14:textId="77777777" w:rsidR="00DD78F2" w:rsidRDefault="00DD78F2" w:rsidP="00DD78F2">
      <w:pPr>
        <w:pStyle w:val="BodyText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Prevention, alternative restorative materials, education, amalgam, mercury, Minamata convention</w:t>
      </w:r>
    </w:p>
    <w:p w14:paraId="40ED1C26" w14:textId="77777777" w:rsidR="00DD78F2" w:rsidRDefault="00DD78F2" w:rsidP="00DD78F2">
      <w:pPr>
        <w:pStyle w:val="BodyText"/>
        <w:spacing w:after="120"/>
        <w:ind w:left="142" w:right="142" w:firstLine="0"/>
        <w:jc w:val="both"/>
        <w:rPr>
          <w:rFonts w:cs="Arial"/>
          <w:spacing w:val="-1"/>
          <w:sz w:val="24"/>
          <w:szCs w:val="24"/>
        </w:rPr>
      </w:pPr>
    </w:p>
    <w:p w14:paraId="635DAD9A" w14:textId="77777777" w:rsidR="00DD78F2" w:rsidRPr="00D21DF2" w:rsidRDefault="00DD78F2" w:rsidP="00DD78F2">
      <w:pPr>
        <w:pStyle w:val="BodyText"/>
        <w:spacing w:after="120"/>
        <w:ind w:left="142" w:right="142" w:firstLine="0"/>
        <w:jc w:val="both"/>
        <w:rPr>
          <w:rFonts w:cs="Arial"/>
          <w:b/>
          <w:spacing w:val="-1"/>
          <w:sz w:val="24"/>
          <w:szCs w:val="24"/>
        </w:rPr>
      </w:pPr>
      <w:r w:rsidRPr="00D21DF2">
        <w:rPr>
          <w:rFonts w:cs="Arial"/>
          <w:b/>
          <w:spacing w:val="-1"/>
          <w:sz w:val="24"/>
          <w:szCs w:val="24"/>
        </w:rPr>
        <w:t>DISCLAIMER</w:t>
      </w:r>
    </w:p>
    <w:p w14:paraId="5AE43910" w14:textId="3E054A24" w:rsidR="000C42EB" w:rsidRDefault="00DD78F2" w:rsidP="00E47BC6">
      <w:pPr>
        <w:pStyle w:val="BodyText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 w:rsidRPr="00262FE3">
        <w:rPr>
          <w:rFonts w:cs="Arial"/>
          <w:spacing w:val="-1"/>
          <w:sz w:val="24"/>
          <w:szCs w:val="24"/>
        </w:rPr>
        <w:t xml:space="preserve">The information in this Policy Statement was based on the best scientific evidence available at the time. It may be interpreted to reflect prevailing cultural sensitivities and socio-economic constraints. </w:t>
      </w:r>
    </w:p>
    <w:p w14:paraId="6BFA22CA" w14:textId="77777777" w:rsidR="00E47BC6" w:rsidRDefault="00E47BC6" w:rsidP="00E47BC6">
      <w:pPr>
        <w:pStyle w:val="BodyText"/>
        <w:ind w:left="142" w:right="142" w:firstLine="0"/>
        <w:jc w:val="both"/>
        <w:rPr>
          <w:rFonts w:cs="Arial"/>
          <w:spacing w:val="-1"/>
          <w:sz w:val="24"/>
          <w:szCs w:val="24"/>
        </w:rPr>
      </w:pPr>
    </w:p>
    <w:p w14:paraId="0B2634D0" w14:textId="77777777" w:rsidR="00D35FA5" w:rsidRPr="00E6339C" w:rsidRDefault="00D35FA5" w:rsidP="00D35FA5">
      <w:pPr>
        <w:pStyle w:val="BodyText"/>
        <w:spacing w:after="120"/>
        <w:ind w:left="142" w:right="142" w:firstLine="0"/>
        <w:jc w:val="both"/>
        <w:rPr>
          <w:rFonts w:cs="Arial"/>
          <w:b/>
          <w:spacing w:val="-1"/>
          <w:sz w:val="24"/>
          <w:szCs w:val="24"/>
        </w:rPr>
      </w:pPr>
      <w:r w:rsidRPr="00E6339C">
        <w:rPr>
          <w:rFonts w:cs="Arial"/>
          <w:b/>
          <w:spacing w:val="-1"/>
          <w:sz w:val="24"/>
          <w:szCs w:val="24"/>
        </w:rPr>
        <w:t>REFERENCES</w:t>
      </w:r>
    </w:p>
    <w:p w14:paraId="53C4B613" w14:textId="77777777" w:rsidR="00D35FA5" w:rsidRPr="00E47BC6" w:rsidRDefault="00D35FA5" w:rsidP="00E47BC6">
      <w:pPr>
        <w:pStyle w:val="BodyText"/>
        <w:numPr>
          <w:ilvl w:val="0"/>
          <w:numId w:val="15"/>
        </w:numPr>
        <w:ind w:right="142"/>
        <w:rPr>
          <w:rFonts w:cs="Arial"/>
          <w:spacing w:val="-1"/>
          <w:sz w:val="24"/>
          <w:szCs w:val="24"/>
        </w:rPr>
      </w:pPr>
      <w:r w:rsidRPr="00E47BC6">
        <w:rPr>
          <w:rFonts w:cs="Arial"/>
          <w:spacing w:val="-1"/>
          <w:sz w:val="24"/>
          <w:szCs w:val="24"/>
        </w:rPr>
        <w:t xml:space="preserve">Minamata Convention on Mercury. Geneva, United Nations Environment </w:t>
      </w:r>
      <w:proofErr w:type="spellStart"/>
      <w:r w:rsidRPr="00E47BC6">
        <w:rPr>
          <w:rFonts w:cs="Arial"/>
          <w:spacing w:val="-1"/>
          <w:sz w:val="24"/>
          <w:szCs w:val="24"/>
        </w:rPr>
        <w:t>Programme</w:t>
      </w:r>
      <w:proofErr w:type="spellEnd"/>
      <w:r w:rsidRPr="00E47BC6">
        <w:rPr>
          <w:rFonts w:cs="Arial"/>
          <w:spacing w:val="-1"/>
          <w:sz w:val="24"/>
          <w:szCs w:val="24"/>
        </w:rPr>
        <w:t xml:space="preserve">, 2013. Available from: </w:t>
      </w:r>
      <w:hyperlink r:id="rId12" w:history="1">
        <w:r w:rsidRPr="00E47BC6">
          <w:rPr>
            <w:rStyle w:val="Hyperlink"/>
            <w:rFonts w:cs="Arial"/>
            <w:color w:val="auto"/>
            <w:spacing w:val="-1"/>
            <w:sz w:val="24"/>
            <w:szCs w:val="24"/>
            <w:u w:val="none"/>
          </w:rPr>
          <w:t>http://www.mercuryconvention.org/Convention</w:t>
        </w:r>
      </w:hyperlink>
      <w:r w:rsidRPr="00E47BC6">
        <w:rPr>
          <w:rStyle w:val="Hyperlink"/>
          <w:rFonts w:cs="Arial"/>
          <w:color w:val="auto"/>
          <w:spacing w:val="-1"/>
          <w:sz w:val="24"/>
          <w:szCs w:val="24"/>
          <w:u w:val="none"/>
        </w:rPr>
        <w:t>.</w:t>
      </w:r>
      <w:r w:rsidRPr="00E47BC6">
        <w:rPr>
          <w:rFonts w:cs="Arial"/>
          <w:spacing w:val="-1"/>
          <w:sz w:val="24"/>
          <w:szCs w:val="24"/>
        </w:rPr>
        <w:t xml:space="preserve"> Accessed 24 July 2018.</w:t>
      </w:r>
    </w:p>
    <w:p w14:paraId="3C89DEAE" w14:textId="77777777" w:rsidR="00D35FA5" w:rsidRPr="00E47BC6" w:rsidRDefault="00D35FA5" w:rsidP="00E47BC6">
      <w:pPr>
        <w:pStyle w:val="BodyText"/>
        <w:numPr>
          <w:ilvl w:val="0"/>
          <w:numId w:val="15"/>
        </w:numPr>
        <w:ind w:right="142"/>
        <w:rPr>
          <w:rFonts w:cs="Arial"/>
          <w:spacing w:val="-1"/>
          <w:sz w:val="24"/>
          <w:szCs w:val="24"/>
        </w:rPr>
      </w:pPr>
      <w:r w:rsidRPr="00E47BC6">
        <w:rPr>
          <w:rFonts w:cs="Arial"/>
          <w:spacing w:val="-1"/>
          <w:sz w:val="24"/>
          <w:szCs w:val="24"/>
        </w:rPr>
        <w:t xml:space="preserve">Regulation (EU) 2017/852 of the European Parliament and of the Council of 17 May 2017 </w:t>
      </w:r>
      <w:r w:rsidRPr="00E47BC6">
        <w:rPr>
          <w:rFonts w:cs="Arial"/>
          <w:spacing w:val="-1"/>
          <w:sz w:val="24"/>
          <w:szCs w:val="24"/>
        </w:rPr>
        <w:lastRenderedPageBreak/>
        <w:t xml:space="preserve">on mercury, and repealing Regulation (EC) No 1102/2008. </w:t>
      </w:r>
      <w:r w:rsidRPr="00E47BC6">
        <w:rPr>
          <w:rFonts w:cs="Arial"/>
          <w:i/>
          <w:spacing w:val="-1"/>
          <w:sz w:val="24"/>
          <w:szCs w:val="24"/>
        </w:rPr>
        <w:t>Official Journal of the European Union</w:t>
      </w:r>
      <w:r w:rsidRPr="00E47BC6">
        <w:rPr>
          <w:rFonts w:cs="Arial"/>
          <w:spacing w:val="-1"/>
          <w:sz w:val="24"/>
          <w:szCs w:val="24"/>
        </w:rPr>
        <w:t xml:space="preserve"> 2017. Available from: </w:t>
      </w:r>
      <w:r w:rsidRPr="00E47BC6">
        <w:rPr>
          <w:rFonts w:cs="Arial"/>
          <w:spacing w:val="-1"/>
          <w:sz w:val="24"/>
          <w:szCs w:val="24"/>
        </w:rPr>
        <w:br/>
      </w:r>
      <w:hyperlink r:id="rId13" w:history="1">
        <w:r w:rsidRPr="00E47BC6">
          <w:rPr>
            <w:rStyle w:val="Hyperlink"/>
            <w:rFonts w:cs="Arial"/>
            <w:color w:val="auto"/>
            <w:spacing w:val="-1"/>
            <w:sz w:val="24"/>
            <w:szCs w:val="24"/>
            <w:u w:val="none"/>
          </w:rPr>
          <w:t>http://eur-lex.europa.eu/legal-content/EN/TXT/PDF/?uri=CELEX:32017R0852&amp;from=EN</w:t>
        </w:r>
      </w:hyperlink>
      <w:r w:rsidRPr="00E47BC6">
        <w:rPr>
          <w:rStyle w:val="Hyperlink"/>
          <w:rFonts w:cs="Arial"/>
          <w:color w:val="auto"/>
          <w:spacing w:val="-1"/>
          <w:sz w:val="24"/>
          <w:szCs w:val="24"/>
          <w:u w:val="none"/>
        </w:rPr>
        <w:t>.</w:t>
      </w:r>
      <w:r w:rsidRPr="00E47BC6">
        <w:rPr>
          <w:rFonts w:cs="Arial"/>
          <w:spacing w:val="-1"/>
          <w:sz w:val="24"/>
          <w:szCs w:val="24"/>
        </w:rPr>
        <w:t xml:space="preserve"> Accessed 24 July 2018. </w:t>
      </w:r>
    </w:p>
    <w:p w14:paraId="519EE58C" w14:textId="56E558EE" w:rsidR="00677D1E" w:rsidRPr="00E47BC6" w:rsidRDefault="00D35FA5" w:rsidP="00853428">
      <w:pPr>
        <w:pStyle w:val="Heading1"/>
        <w:numPr>
          <w:ilvl w:val="0"/>
          <w:numId w:val="15"/>
        </w:numPr>
        <w:spacing w:after="120"/>
        <w:ind w:right="142"/>
        <w:jc w:val="both"/>
        <w:rPr>
          <w:rFonts w:cs="Arial"/>
          <w:spacing w:val="-1"/>
          <w:sz w:val="24"/>
          <w:szCs w:val="24"/>
        </w:rPr>
      </w:pPr>
      <w:r w:rsidRPr="00E47BC6">
        <w:rPr>
          <w:rFonts w:ascii="Arial" w:hAnsi="Arial" w:cs="Arial"/>
          <w:b w:val="0"/>
          <w:sz w:val="24"/>
          <w:szCs w:val="24"/>
          <w:lang w:val="en-US"/>
        </w:rPr>
        <w:t>Opinion on the safety of dental amalgam and alternative dental restoration materials for patients and users</w:t>
      </w:r>
      <w:r w:rsidRPr="00E47BC6">
        <w:rPr>
          <w:rFonts w:ascii="Arial" w:hAnsi="Arial" w:cs="Arial"/>
          <w:sz w:val="24"/>
          <w:szCs w:val="24"/>
          <w:lang w:val="en-US"/>
        </w:rPr>
        <w:t xml:space="preserve">. </w:t>
      </w:r>
      <w:r w:rsidRPr="00E47BC6">
        <w:rPr>
          <w:rFonts w:ascii="Arial" w:hAnsi="Arial" w:cs="Arial"/>
          <w:b w:val="0"/>
          <w:i/>
          <w:sz w:val="24"/>
          <w:szCs w:val="24"/>
          <w:lang w:val="en-US"/>
        </w:rPr>
        <w:t>Scientific Committee on Emerging and Newly Identified Health Risks (SCENIHR) of the European Commission</w:t>
      </w:r>
      <w:r w:rsidRPr="00E47BC6">
        <w:rPr>
          <w:rFonts w:ascii="Arial" w:hAnsi="Arial" w:cs="Arial"/>
          <w:b w:val="0"/>
          <w:sz w:val="24"/>
          <w:szCs w:val="24"/>
          <w:lang w:val="en-US"/>
        </w:rPr>
        <w:t xml:space="preserve"> 2015. Available from:</w:t>
      </w:r>
      <w:r w:rsidRPr="00E47BC6">
        <w:rPr>
          <w:lang w:val="en-US"/>
        </w:rPr>
        <w:t xml:space="preserve"> </w:t>
      </w:r>
      <w:hyperlink r:id="rId14" w:history="1">
        <w:r w:rsidRPr="00E47BC6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https://ec.europa.eu/health/scientific_committees/emerging/docs/scenihr_o_046.pdf</w:t>
        </w:r>
      </w:hyperlink>
      <w:r w:rsidRPr="00E47BC6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lang w:val="en-US"/>
        </w:rPr>
        <w:t xml:space="preserve">. </w:t>
      </w:r>
      <w:r w:rsidRPr="00E47BC6">
        <w:rPr>
          <w:rFonts w:ascii="Arial" w:hAnsi="Arial" w:cs="Arial"/>
          <w:b w:val="0"/>
          <w:sz w:val="24"/>
          <w:szCs w:val="24"/>
          <w:lang w:val="en-US"/>
        </w:rPr>
        <w:t>Accessed on 24 July.</w:t>
      </w:r>
      <w:bookmarkStart w:id="1" w:name="_GoBack"/>
      <w:bookmarkEnd w:id="1"/>
    </w:p>
    <w:sectPr w:rsidR="00677D1E" w:rsidRPr="00E47BC6" w:rsidSect="00650E36">
      <w:pgSz w:w="12240" w:h="15840"/>
      <w:pgMar w:top="1701" w:right="474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9176" w14:textId="77777777" w:rsidR="00306854" w:rsidRDefault="00306854" w:rsidP="000B2AF6">
      <w:r>
        <w:separator/>
      </w:r>
    </w:p>
  </w:endnote>
  <w:endnote w:type="continuationSeparator" w:id="0">
    <w:p w14:paraId="6BBE1125" w14:textId="77777777" w:rsidR="00306854" w:rsidRDefault="00306854" w:rsidP="000B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B88C1" w14:textId="77777777" w:rsidR="00306854" w:rsidRDefault="00306854" w:rsidP="000B2AF6">
      <w:r>
        <w:separator/>
      </w:r>
    </w:p>
  </w:footnote>
  <w:footnote w:type="continuationSeparator" w:id="0">
    <w:p w14:paraId="1B92187C" w14:textId="77777777" w:rsidR="00306854" w:rsidRDefault="00306854" w:rsidP="000B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599C"/>
    <w:multiLevelType w:val="hybridMultilevel"/>
    <w:tmpl w:val="0BF63CA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0AE66FD"/>
    <w:multiLevelType w:val="hybridMultilevel"/>
    <w:tmpl w:val="7CF2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90A"/>
    <w:multiLevelType w:val="hybridMultilevel"/>
    <w:tmpl w:val="046C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7573F"/>
    <w:multiLevelType w:val="hybridMultilevel"/>
    <w:tmpl w:val="AD703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B79BE"/>
    <w:multiLevelType w:val="hybridMultilevel"/>
    <w:tmpl w:val="A1E675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828CA"/>
    <w:multiLevelType w:val="hybridMultilevel"/>
    <w:tmpl w:val="7E72569C"/>
    <w:lvl w:ilvl="0" w:tplc="ABE4ED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4B39FE"/>
    <w:multiLevelType w:val="hybridMultilevel"/>
    <w:tmpl w:val="FDD2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41530"/>
    <w:multiLevelType w:val="hybridMultilevel"/>
    <w:tmpl w:val="508A4A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008531D"/>
    <w:multiLevelType w:val="hybridMultilevel"/>
    <w:tmpl w:val="37564AD2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0C2418C"/>
    <w:multiLevelType w:val="hybridMultilevel"/>
    <w:tmpl w:val="D9D8DF58"/>
    <w:lvl w:ilvl="0" w:tplc="AF468F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557B"/>
    <w:multiLevelType w:val="hybridMultilevel"/>
    <w:tmpl w:val="75BE65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EB85FEF"/>
    <w:multiLevelType w:val="hybridMultilevel"/>
    <w:tmpl w:val="2F9CCE1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C615D3C"/>
    <w:multiLevelType w:val="hybridMultilevel"/>
    <w:tmpl w:val="7E72569C"/>
    <w:lvl w:ilvl="0" w:tplc="ABE4ED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BE3DD1"/>
    <w:multiLevelType w:val="hybridMultilevel"/>
    <w:tmpl w:val="440288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F69"/>
    <w:rsid w:val="000166EE"/>
    <w:rsid w:val="00023E26"/>
    <w:rsid w:val="0002738B"/>
    <w:rsid w:val="00044545"/>
    <w:rsid w:val="00046491"/>
    <w:rsid w:val="0005357E"/>
    <w:rsid w:val="00053A3E"/>
    <w:rsid w:val="00066675"/>
    <w:rsid w:val="000B01AA"/>
    <w:rsid w:val="000B2AF6"/>
    <w:rsid w:val="000B387D"/>
    <w:rsid w:val="000C42EB"/>
    <w:rsid w:val="000D5260"/>
    <w:rsid w:val="000E0D97"/>
    <w:rsid w:val="000F165F"/>
    <w:rsid w:val="000F7E13"/>
    <w:rsid w:val="001160E9"/>
    <w:rsid w:val="001163FC"/>
    <w:rsid w:val="00166E42"/>
    <w:rsid w:val="001737C1"/>
    <w:rsid w:val="001748E7"/>
    <w:rsid w:val="001808C0"/>
    <w:rsid w:val="00183145"/>
    <w:rsid w:val="001930FF"/>
    <w:rsid w:val="00196138"/>
    <w:rsid w:val="001C51A5"/>
    <w:rsid w:val="001D697F"/>
    <w:rsid w:val="00202D6C"/>
    <w:rsid w:val="00214523"/>
    <w:rsid w:val="00244F78"/>
    <w:rsid w:val="002517EB"/>
    <w:rsid w:val="00277EA3"/>
    <w:rsid w:val="0028137D"/>
    <w:rsid w:val="00281FB7"/>
    <w:rsid w:val="00283735"/>
    <w:rsid w:val="002A45F7"/>
    <w:rsid w:val="002A6200"/>
    <w:rsid w:val="002D18E8"/>
    <w:rsid w:val="002D2F4C"/>
    <w:rsid w:val="002D6182"/>
    <w:rsid w:val="00306854"/>
    <w:rsid w:val="00310B2E"/>
    <w:rsid w:val="00317468"/>
    <w:rsid w:val="00342887"/>
    <w:rsid w:val="003613FB"/>
    <w:rsid w:val="00393A03"/>
    <w:rsid w:val="003B5C31"/>
    <w:rsid w:val="003C5BA5"/>
    <w:rsid w:val="003C6147"/>
    <w:rsid w:val="003D088F"/>
    <w:rsid w:val="003D3E6F"/>
    <w:rsid w:val="004054AE"/>
    <w:rsid w:val="0043087F"/>
    <w:rsid w:val="0045549B"/>
    <w:rsid w:val="00476945"/>
    <w:rsid w:val="0047740C"/>
    <w:rsid w:val="004A2AEF"/>
    <w:rsid w:val="004B2550"/>
    <w:rsid w:val="004B5C47"/>
    <w:rsid w:val="004C258C"/>
    <w:rsid w:val="004C690C"/>
    <w:rsid w:val="004D271F"/>
    <w:rsid w:val="00541BB4"/>
    <w:rsid w:val="00571ED3"/>
    <w:rsid w:val="005737F9"/>
    <w:rsid w:val="005A60EE"/>
    <w:rsid w:val="005C35F3"/>
    <w:rsid w:val="005D0008"/>
    <w:rsid w:val="005D0C13"/>
    <w:rsid w:val="00622554"/>
    <w:rsid w:val="0063213B"/>
    <w:rsid w:val="006331D8"/>
    <w:rsid w:val="00645DB9"/>
    <w:rsid w:val="00650E36"/>
    <w:rsid w:val="00671977"/>
    <w:rsid w:val="00677D1E"/>
    <w:rsid w:val="006B7220"/>
    <w:rsid w:val="006B74B3"/>
    <w:rsid w:val="006C726B"/>
    <w:rsid w:val="006F7F63"/>
    <w:rsid w:val="007018CB"/>
    <w:rsid w:val="007075EF"/>
    <w:rsid w:val="00715D39"/>
    <w:rsid w:val="00716E39"/>
    <w:rsid w:val="0073359A"/>
    <w:rsid w:val="00746BBE"/>
    <w:rsid w:val="007645EE"/>
    <w:rsid w:val="007D66CF"/>
    <w:rsid w:val="007D6C28"/>
    <w:rsid w:val="007E07AF"/>
    <w:rsid w:val="007E16DA"/>
    <w:rsid w:val="00800D17"/>
    <w:rsid w:val="00805129"/>
    <w:rsid w:val="00806415"/>
    <w:rsid w:val="008067BC"/>
    <w:rsid w:val="00834AEC"/>
    <w:rsid w:val="00865C3B"/>
    <w:rsid w:val="00866CFC"/>
    <w:rsid w:val="00893ED6"/>
    <w:rsid w:val="008941A1"/>
    <w:rsid w:val="008955CE"/>
    <w:rsid w:val="008A25C9"/>
    <w:rsid w:val="008B1EE7"/>
    <w:rsid w:val="008D0B16"/>
    <w:rsid w:val="008D6B43"/>
    <w:rsid w:val="008E5B03"/>
    <w:rsid w:val="008F4A3F"/>
    <w:rsid w:val="009032B5"/>
    <w:rsid w:val="00933075"/>
    <w:rsid w:val="00935091"/>
    <w:rsid w:val="00942B72"/>
    <w:rsid w:val="009504E7"/>
    <w:rsid w:val="009509D4"/>
    <w:rsid w:val="009533FA"/>
    <w:rsid w:val="00984603"/>
    <w:rsid w:val="009B286D"/>
    <w:rsid w:val="009D3180"/>
    <w:rsid w:val="009E327F"/>
    <w:rsid w:val="009F392A"/>
    <w:rsid w:val="00A04025"/>
    <w:rsid w:val="00A1188F"/>
    <w:rsid w:val="00A24281"/>
    <w:rsid w:val="00A34F69"/>
    <w:rsid w:val="00A36982"/>
    <w:rsid w:val="00A45B55"/>
    <w:rsid w:val="00A92FDD"/>
    <w:rsid w:val="00AA3558"/>
    <w:rsid w:val="00AB4422"/>
    <w:rsid w:val="00AD439F"/>
    <w:rsid w:val="00B319B6"/>
    <w:rsid w:val="00B342B3"/>
    <w:rsid w:val="00B501DA"/>
    <w:rsid w:val="00B50536"/>
    <w:rsid w:val="00B5065B"/>
    <w:rsid w:val="00B50C85"/>
    <w:rsid w:val="00B54D82"/>
    <w:rsid w:val="00B60DBA"/>
    <w:rsid w:val="00B92D10"/>
    <w:rsid w:val="00BA170B"/>
    <w:rsid w:val="00BA62BC"/>
    <w:rsid w:val="00BE462C"/>
    <w:rsid w:val="00C11070"/>
    <w:rsid w:val="00C2161B"/>
    <w:rsid w:val="00C66AD5"/>
    <w:rsid w:val="00C70413"/>
    <w:rsid w:val="00CB082F"/>
    <w:rsid w:val="00CB57E7"/>
    <w:rsid w:val="00CC502C"/>
    <w:rsid w:val="00CD415A"/>
    <w:rsid w:val="00CE6D7D"/>
    <w:rsid w:val="00CF2132"/>
    <w:rsid w:val="00CF224A"/>
    <w:rsid w:val="00D07786"/>
    <w:rsid w:val="00D157F7"/>
    <w:rsid w:val="00D17B44"/>
    <w:rsid w:val="00D21E14"/>
    <w:rsid w:val="00D35FA5"/>
    <w:rsid w:val="00D604E8"/>
    <w:rsid w:val="00D94650"/>
    <w:rsid w:val="00DA2D01"/>
    <w:rsid w:val="00DB00C8"/>
    <w:rsid w:val="00DB49EC"/>
    <w:rsid w:val="00DB69E4"/>
    <w:rsid w:val="00DB73B0"/>
    <w:rsid w:val="00DD78F2"/>
    <w:rsid w:val="00E11280"/>
    <w:rsid w:val="00E32260"/>
    <w:rsid w:val="00E463B3"/>
    <w:rsid w:val="00E47BC6"/>
    <w:rsid w:val="00E6339C"/>
    <w:rsid w:val="00E7449D"/>
    <w:rsid w:val="00E84FEE"/>
    <w:rsid w:val="00E85192"/>
    <w:rsid w:val="00EC281A"/>
    <w:rsid w:val="00ED603B"/>
    <w:rsid w:val="00EF166D"/>
    <w:rsid w:val="00EF1ACC"/>
    <w:rsid w:val="00F11703"/>
    <w:rsid w:val="00F14B94"/>
    <w:rsid w:val="00F312E1"/>
    <w:rsid w:val="00F4200B"/>
    <w:rsid w:val="00F678BC"/>
    <w:rsid w:val="00F7021C"/>
    <w:rsid w:val="00F7582C"/>
    <w:rsid w:val="00FD12DA"/>
    <w:rsid w:val="00FD2E64"/>
    <w:rsid w:val="00FE046F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D21D"/>
  <w15:docId w15:val="{90534841-73AC-4858-8BAC-831D839E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A2A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D271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2AEF"/>
  </w:style>
  <w:style w:type="paragraph" w:styleId="BodyText">
    <w:name w:val="Body Text"/>
    <w:basedOn w:val="Normal"/>
    <w:link w:val="BodyTextChar"/>
    <w:uiPriority w:val="1"/>
    <w:qFormat/>
    <w:rsid w:val="000B2AF6"/>
    <w:pPr>
      <w:ind w:left="206" w:hanging="34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B2AF6"/>
    <w:rPr>
      <w:rFonts w:ascii="Arial" w:eastAsia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A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A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AF6"/>
    <w:rPr>
      <w:vertAlign w:val="superscript"/>
    </w:rPr>
  </w:style>
  <w:style w:type="paragraph" w:styleId="ListParagraph">
    <w:name w:val="List Paragraph"/>
    <w:basedOn w:val="Normal"/>
    <w:uiPriority w:val="1"/>
    <w:qFormat/>
    <w:rsid w:val="00E6339C"/>
  </w:style>
  <w:style w:type="character" w:styleId="LineNumber">
    <w:name w:val="line number"/>
    <w:basedOn w:val="DefaultParagraphFont"/>
    <w:uiPriority w:val="99"/>
    <w:semiHidden/>
    <w:unhideWhenUsed/>
    <w:rsid w:val="00A04025"/>
  </w:style>
  <w:style w:type="character" w:styleId="CommentReference">
    <w:name w:val="annotation reference"/>
    <w:basedOn w:val="DefaultParagraphFont"/>
    <w:uiPriority w:val="99"/>
    <w:semiHidden/>
    <w:unhideWhenUsed/>
    <w:rsid w:val="00BA1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63F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4D271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B00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4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-lex.europa.eu/legal-content/EN/TXT/PDF/?uri=CELEX:32017R0852&amp;from=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rcuryconvention.org/Conven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health/scientific_committees/emerging/docs/scenihr_o_0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73A32C0A13C4898A11223B23F32DA" ma:contentTypeVersion="0" ma:contentTypeDescription="Create a new document." ma:contentTypeScope="" ma:versionID="b03cb7d19f3fd0b12fe46b4d6f9e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4BB2-83F9-4366-9965-91EE38AB3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6F67F-13E0-4325-B5C8-1799DABB4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0E612-89FC-4656-902F-04455C7E0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EF20F-8067-4A9B-951E-4E2E393B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Bourzeix</dc:creator>
  <cp:lastModifiedBy>Jose Ibarra</cp:lastModifiedBy>
  <cp:revision>3</cp:revision>
  <dcterms:created xsi:type="dcterms:W3CDTF">2018-09-05T14:59:00Z</dcterms:created>
  <dcterms:modified xsi:type="dcterms:W3CDTF">2018-09-05T20:14:00Z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0x010100CD273A32C0A13C4898A11223B23F32DA</vt:lpwstr>
  </property>
</Properties>
</file>